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1476" w14:textId="65EFE4BD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>July 7</w:t>
      </w:r>
      <w:r w:rsidR="00912677" w:rsidRPr="007479F1">
        <w:rPr>
          <w:rFonts w:ascii="Calibri" w:hAnsi="Calibri" w:cs="Calibri"/>
          <w:sz w:val="20"/>
          <w:szCs w:val="20"/>
        </w:rPr>
        <w:t>, 2025</w:t>
      </w:r>
    </w:p>
    <w:p w14:paraId="5BA062BE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4D339A3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26D0E6B" w14:textId="393A7CC5" w:rsidR="007479F1" w:rsidRPr="00F054E2" w:rsidRDefault="00B5321E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054E2">
        <w:rPr>
          <w:rFonts w:ascii="Calibri" w:hAnsi="Calibri" w:cs="Calibri"/>
          <w:sz w:val="20"/>
          <w:szCs w:val="20"/>
        </w:rPr>
        <w:t>Mike Tuffin</w:t>
      </w:r>
    </w:p>
    <w:p w14:paraId="6E838A2F" w14:textId="619A9448" w:rsidR="007479F1" w:rsidRPr="00F054E2" w:rsidRDefault="00B5321E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054E2">
        <w:rPr>
          <w:rFonts w:ascii="Calibri" w:hAnsi="Calibri" w:cs="Calibri"/>
          <w:sz w:val="20"/>
          <w:szCs w:val="20"/>
        </w:rPr>
        <w:t>President and CEO</w:t>
      </w:r>
    </w:p>
    <w:p w14:paraId="6D307C49" w14:textId="09F8BFDE" w:rsidR="007479F1" w:rsidRPr="00F054E2" w:rsidRDefault="00B5321E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054E2">
        <w:rPr>
          <w:rFonts w:ascii="Calibri" w:hAnsi="Calibri" w:cs="Calibri"/>
          <w:sz w:val="20"/>
          <w:szCs w:val="20"/>
        </w:rPr>
        <w:t>A</w:t>
      </w:r>
      <w:r w:rsidR="003E42C2" w:rsidRPr="00F054E2">
        <w:rPr>
          <w:rFonts w:ascii="Calibri" w:hAnsi="Calibri" w:cs="Calibri"/>
          <w:sz w:val="20"/>
          <w:szCs w:val="20"/>
        </w:rPr>
        <w:t>HIP</w:t>
      </w:r>
    </w:p>
    <w:p w14:paraId="45FE7413" w14:textId="77777777" w:rsidR="00F054E2" w:rsidRPr="00F054E2" w:rsidRDefault="00F054E2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054E2">
        <w:rPr>
          <w:rFonts w:ascii="Calibri" w:hAnsi="Calibri" w:cs="Calibri"/>
          <w:sz w:val="20"/>
          <w:szCs w:val="20"/>
        </w:rPr>
        <w:t xml:space="preserve">601 Pennsylvania Avenue, NW </w:t>
      </w:r>
    </w:p>
    <w:p w14:paraId="6B8F3335" w14:textId="77777777" w:rsidR="00F054E2" w:rsidRPr="00F054E2" w:rsidRDefault="00F054E2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054E2">
        <w:rPr>
          <w:rFonts w:ascii="Calibri" w:hAnsi="Calibri" w:cs="Calibri"/>
          <w:sz w:val="20"/>
          <w:szCs w:val="20"/>
        </w:rPr>
        <w:t xml:space="preserve">South Building, Suite 500 </w:t>
      </w:r>
    </w:p>
    <w:p w14:paraId="33803F67" w14:textId="4A81AB23" w:rsidR="00912677" w:rsidRDefault="00F054E2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054E2">
        <w:rPr>
          <w:rFonts w:ascii="Calibri" w:hAnsi="Calibri" w:cs="Calibri"/>
          <w:sz w:val="20"/>
          <w:szCs w:val="20"/>
        </w:rPr>
        <w:t>Washington, DC 20004</w:t>
      </w:r>
    </w:p>
    <w:p w14:paraId="451933A0" w14:textId="77777777" w:rsidR="00F054E2" w:rsidRPr="00F054E2" w:rsidRDefault="00F054E2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3819778" w14:textId="37541D3A" w:rsidR="00912677" w:rsidRPr="007479F1" w:rsidRDefault="00912677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 xml:space="preserve">Re: </w:t>
      </w:r>
      <w:r w:rsidR="005E15B9" w:rsidRPr="007479F1">
        <w:rPr>
          <w:rFonts w:ascii="Calibri" w:hAnsi="Calibri" w:cs="Calibri"/>
          <w:sz w:val="20"/>
          <w:szCs w:val="20"/>
        </w:rPr>
        <w:t xml:space="preserve">Maintaining </w:t>
      </w:r>
      <w:r w:rsidR="00662A06" w:rsidRPr="007479F1">
        <w:rPr>
          <w:rFonts w:ascii="Calibri" w:hAnsi="Calibri" w:cs="Calibri"/>
          <w:sz w:val="20"/>
          <w:szCs w:val="20"/>
        </w:rPr>
        <w:t>Access to Immunization</w:t>
      </w:r>
      <w:r w:rsidR="00276FEE" w:rsidRPr="007479F1">
        <w:rPr>
          <w:rFonts w:ascii="Calibri" w:hAnsi="Calibri" w:cs="Calibri"/>
          <w:sz w:val="20"/>
          <w:szCs w:val="20"/>
        </w:rPr>
        <w:t>s</w:t>
      </w:r>
      <w:r w:rsidR="00662A06" w:rsidRPr="007479F1">
        <w:rPr>
          <w:rFonts w:ascii="Calibri" w:hAnsi="Calibri" w:cs="Calibri"/>
          <w:sz w:val="20"/>
          <w:szCs w:val="20"/>
        </w:rPr>
        <w:t xml:space="preserve"> </w:t>
      </w:r>
      <w:r w:rsidR="001E22E3" w:rsidRPr="007479F1">
        <w:rPr>
          <w:rFonts w:ascii="Calibri" w:hAnsi="Calibri" w:cs="Calibri"/>
          <w:sz w:val="20"/>
          <w:szCs w:val="20"/>
        </w:rPr>
        <w:t>W</w:t>
      </w:r>
      <w:r w:rsidR="005E15B9" w:rsidRPr="007479F1">
        <w:rPr>
          <w:rFonts w:ascii="Calibri" w:hAnsi="Calibri" w:cs="Calibri"/>
          <w:sz w:val="20"/>
          <w:szCs w:val="20"/>
        </w:rPr>
        <w:t>ithout Patient Cost</w:t>
      </w:r>
      <w:r w:rsidR="007A4199" w:rsidRPr="007479F1">
        <w:rPr>
          <w:rFonts w:ascii="Calibri" w:hAnsi="Calibri" w:cs="Calibri"/>
          <w:sz w:val="20"/>
          <w:szCs w:val="20"/>
        </w:rPr>
        <w:t xml:space="preserve"> </w:t>
      </w:r>
      <w:r w:rsidR="005E15B9" w:rsidRPr="007479F1">
        <w:rPr>
          <w:rFonts w:ascii="Calibri" w:hAnsi="Calibri" w:cs="Calibri"/>
          <w:sz w:val="20"/>
          <w:szCs w:val="20"/>
        </w:rPr>
        <w:t>Sharing</w:t>
      </w:r>
    </w:p>
    <w:p w14:paraId="37321A46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63FDEA8" w14:textId="683DB431" w:rsidR="00912677" w:rsidRPr="007479F1" w:rsidRDefault="00912677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>Dear</w:t>
      </w:r>
      <w:r w:rsidR="007479F1" w:rsidRPr="007479F1">
        <w:rPr>
          <w:rFonts w:ascii="Calibri" w:hAnsi="Calibri" w:cs="Calibri"/>
          <w:sz w:val="20"/>
          <w:szCs w:val="20"/>
        </w:rPr>
        <w:t xml:space="preserve"> M</w:t>
      </w:r>
      <w:r w:rsidR="00F054E2">
        <w:rPr>
          <w:rFonts w:ascii="Calibri" w:hAnsi="Calibri" w:cs="Calibri"/>
          <w:sz w:val="20"/>
          <w:szCs w:val="20"/>
        </w:rPr>
        <w:t>r</w:t>
      </w:r>
      <w:r w:rsidR="007479F1" w:rsidRPr="007479F1">
        <w:rPr>
          <w:rFonts w:ascii="Calibri" w:hAnsi="Calibri" w:cs="Calibri"/>
          <w:sz w:val="20"/>
          <w:szCs w:val="20"/>
        </w:rPr>
        <w:t xml:space="preserve">. </w:t>
      </w:r>
      <w:r w:rsidR="00F054E2">
        <w:rPr>
          <w:rFonts w:ascii="Calibri" w:hAnsi="Calibri" w:cs="Calibri"/>
          <w:sz w:val="20"/>
          <w:szCs w:val="20"/>
        </w:rPr>
        <w:t>Tuffin</w:t>
      </w:r>
      <w:r w:rsidRPr="007479F1">
        <w:rPr>
          <w:rFonts w:ascii="Calibri" w:hAnsi="Calibri" w:cs="Calibri"/>
          <w:sz w:val="20"/>
          <w:szCs w:val="20"/>
        </w:rPr>
        <w:t>,</w:t>
      </w:r>
      <w:r w:rsidR="00EC709C" w:rsidRPr="007479F1">
        <w:rPr>
          <w:rFonts w:ascii="Calibri" w:hAnsi="Calibri" w:cs="Calibri"/>
          <w:sz w:val="20"/>
          <w:szCs w:val="20"/>
        </w:rPr>
        <w:t xml:space="preserve"> </w:t>
      </w:r>
    </w:p>
    <w:p w14:paraId="228E530B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366B2C8" w14:textId="4284A5FB" w:rsidR="00912677" w:rsidRPr="007479F1" w:rsidRDefault="00912677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>On behalf of</w:t>
      </w:r>
      <w:r w:rsidR="00EC709C" w:rsidRPr="007479F1">
        <w:rPr>
          <w:rFonts w:ascii="Calibri" w:hAnsi="Calibri" w:cs="Calibri"/>
          <w:sz w:val="20"/>
          <w:szCs w:val="20"/>
        </w:rPr>
        <w:t xml:space="preserve"> our</w:t>
      </w:r>
      <w:r w:rsidR="007479F1" w:rsidRPr="007479F1">
        <w:rPr>
          <w:rFonts w:ascii="Calibri" w:hAnsi="Calibri" w:cs="Calibri"/>
          <w:sz w:val="20"/>
          <w:szCs w:val="20"/>
        </w:rPr>
        <w:t xml:space="preserve"> nation’s</w:t>
      </w:r>
      <w:r w:rsidRPr="007479F1">
        <w:rPr>
          <w:rFonts w:ascii="Calibri" w:hAnsi="Calibri" w:cs="Calibri"/>
          <w:sz w:val="20"/>
          <w:szCs w:val="20"/>
        </w:rPr>
        <w:t xml:space="preserve"> </w:t>
      </w:r>
      <w:r w:rsidR="008C5A03" w:rsidRPr="007479F1">
        <w:rPr>
          <w:rFonts w:ascii="Calibri" w:hAnsi="Calibri" w:cs="Calibri"/>
          <w:sz w:val="20"/>
          <w:szCs w:val="20"/>
        </w:rPr>
        <w:t xml:space="preserve">more than </w:t>
      </w:r>
      <w:r w:rsidR="00E216A6" w:rsidRPr="007479F1">
        <w:rPr>
          <w:rFonts w:ascii="Calibri" w:hAnsi="Calibri" w:cs="Calibri"/>
          <w:sz w:val="20"/>
          <w:szCs w:val="20"/>
        </w:rPr>
        <w:t>800,000</w:t>
      </w:r>
      <w:r w:rsidRPr="007479F1">
        <w:rPr>
          <w:rFonts w:ascii="Calibri" w:hAnsi="Calibri" w:cs="Calibri"/>
          <w:sz w:val="20"/>
          <w:szCs w:val="20"/>
        </w:rPr>
        <w:t xml:space="preserve"> pharmacist</w:t>
      </w:r>
      <w:r w:rsidR="00830651" w:rsidRPr="007479F1">
        <w:rPr>
          <w:rFonts w:ascii="Calibri" w:hAnsi="Calibri" w:cs="Calibri"/>
          <w:sz w:val="20"/>
          <w:szCs w:val="20"/>
        </w:rPr>
        <w:t>s</w:t>
      </w:r>
      <w:r w:rsidRPr="007479F1">
        <w:rPr>
          <w:rFonts w:ascii="Calibri" w:hAnsi="Calibri" w:cs="Calibri"/>
          <w:sz w:val="20"/>
          <w:szCs w:val="20"/>
        </w:rPr>
        <w:t xml:space="preserve">, </w:t>
      </w:r>
      <w:r w:rsidR="00FA7F35" w:rsidRPr="007479F1">
        <w:rPr>
          <w:rFonts w:ascii="Calibri" w:hAnsi="Calibri" w:cs="Calibri"/>
          <w:sz w:val="20"/>
          <w:szCs w:val="20"/>
        </w:rPr>
        <w:t xml:space="preserve">pharmacy faculty, pharmaceutical scientists, student pharmacists, </w:t>
      </w:r>
      <w:r w:rsidRPr="007479F1">
        <w:rPr>
          <w:rFonts w:ascii="Calibri" w:hAnsi="Calibri" w:cs="Calibri"/>
          <w:sz w:val="20"/>
          <w:szCs w:val="20"/>
        </w:rPr>
        <w:t>pharmacy technician</w:t>
      </w:r>
      <w:r w:rsidR="00830651" w:rsidRPr="007479F1">
        <w:rPr>
          <w:rFonts w:ascii="Calibri" w:hAnsi="Calibri" w:cs="Calibri"/>
          <w:sz w:val="20"/>
          <w:szCs w:val="20"/>
        </w:rPr>
        <w:t>s</w:t>
      </w:r>
      <w:r w:rsidRPr="007479F1">
        <w:rPr>
          <w:rFonts w:ascii="Calibri" w:hAnsi="Calibri" w:cs="Calibri"/>
          <w:sz w:val="20"/>
          <w:szCs w:val="20"/>
        </w:rPr>
        <w:t>,</w:t>
      </w:r>
      <w:r w:rsidR="0075004D" w:rsidRPr="007479F1">
        <w:rPr>
          <w:rFonts w:ascii="Calibri" w:hAnsi="Calibri" w:cs="Calibri"/>
          <w:sz w:val="20"/>
          <w:szCs w:val="20"/>
        </w:rPr>
        <w:t xml:space="preserve"> </w:t>
      </w:r>
      <w:r w:rsidR="00CB6E20" w:rsidRPr="007479F1">
        <w:rPr>
          <w:rFonts w:ascii="Calibri" w:hAnsi="Calibri" w:cs="Calibri"/>
          <w:sz w:val="20"/>
          <w:szCs w:val="20"/>
        </w:rPr>
        <w:t>and</w:t>
      </w:r>
      <w:r w:rsidR="00EC709C" w:rsidRPr="007479F1">
        <w:rPr>
          <w:rFonts w:ascii="Calibri" w:hAnsi="Calibri" w:cs="Calibri"/>
          <w:sz w:val="20"/>
          <w:szCs w:val="20"/>
        </w:rPr>
        <w:t xml:space="preserve"> </w:t>
      </w:r>
      <w:r w:rsidRPr="007479F1">
        <w:rPr>
          <w:rFonts w:ascii="Calibri" w:hAnsi="Calibri" w:cs="Calibri"/>
          <w:sz w:val="20"/>
          <w:szCs w:val="20"/>
        </w:rPr>
        <w:t xml:space="preserve">the patients they serve, we urge you to maintain </w:t>
      </w:r>
      <w:r w:rsidR="009942C4" w:rsidRPr="007479F1">
        <w:rPr>
          <w:rFonts w:ascii="Calibri" w:hAnsi="Calibri" w:cs="Calibri"/>
          <w:sz w:val="20"/>
          <w:szCs w:val="20"/>
        </w:rPr>
        <w:t>coverage</w:t>
      </w:r>
      <w:r w:rsidR="00DC00EB" w:rsidRPr="007479F1">
        <w:rPr>
          <w:rFonts w:ascii="Calibri" w:hAnsi="Calibri" w:cs="Calibri"/>
          <w:sz w:val="20"/>
          <w:szCs w:val="20"/>
        </w:rPr>
        <w:t>,</w:t>
      </w:r>
      <w:r w:rsidR="009942C4" w:rsidRPr="007479F1">
        <w:rPr>
          <w:rFonts w:ascii="Calibri" w:hAnsi="Calibri" w:cs="Calibri"/>
          <w:sz w:val="20"/>
          <w:szCs w:val="20"/>
        </w:rPr>
        <w:t xml:space="preserve"> </w:t>
      </w:r>
      <w:r w:rsidR="008B3DE8" w:rsidRPr="007479F1">
        <w:rPr>
          <w:rFonts w:ascii="Calibri" w:hAnsi="Calibri" w:cs="Calibri"/>
          <w:sz w:val="20"/>
          <w:szCs w:val="20"/>
        </w:rPr>
        <w:t>without</w:t>
      </w:r>
      <w:r w:rsidR="003E4681" w:rsidRPr="007479F1">
        <w:rPr>
          <w:rFonts w:ascii="Calibri" w:hAnsi="Calibri" w:cs="Calibri"/>
          <w:sz w:val="20"/>
          <w:szCs w:val="20"/>
        </w:rPr>
        <w:t xml:space="preserve"> new</w:t>
      </w:r>
      <w:r w:rsidR="008B3DE8" w:rsidRPr="007479F1">
        <w:rPr>
          <w:rFonts w:ascii="Calibri" w:hAnsi="Calibri" w:cs="Calibri"/>
          <w:sz w:val="20"/>
          <w:szCs w:val="20"/>
        </w:rPr>
        <w:t xml:space="preserve"> patient cost</w:t>
      </w:r>
      <w:r w:rsidR="00EB4563">
        <w:rPr>
          <w:rFonts w:ascii="Calibri" w:hAnsi="Calibri" w:cs="Calibri"/>
          <w:sz w:val="20"/>
          <w:szCs w:val="20"/>
        </w:rPr>
        <w:t>-</w:t>
      </w:r>
      <w:r w:rsidR="008B3DE8" w:rsidRPr="007479F1">
        <w:rPr>
          <w:rFonts w:ascii="Calibri" w:hAnsi="Calibri" w:cs="Calibri"/>
          <w:sz w:val="20"/>
          <w:szCs w:val="20"/>
        </w:rPr>
        <w:t>sharing</w:t>
      </w:r>
      <w:r w:rsidR="00CE486F" w:rsidRPr="007479F1">
        <w:rPr>
          <w:rFonts w:ascii="Calibri" w:hAnsi="Calibri" w:cs="Calibri"/>
          <w:sz w:val="20"/>
          <w:szCs w:val="20"/>
        </w:rPr>
        <w:t xml:space="preserve"> or restrictions</w:t>
      </w:r>
      <w:r w:rsidR="00DC00EB" w:rsidRPr="007479F1">
        <w:rPr>
          <w:rFonts w:ascii="Calibri" w:hAnsi="Calibri" w:cs="Calibri"/>
          <w:sz w:val="20"/>
          <w:szCs w:val="20"/>
        </w:rPr>
        <w:t>, for all currently covered immunizations</w:t>
      </w:r>
      <w:r w:rsidR="009942C4" w:rsidRPr="007479F1">
        <w:rPr>
          <w:rFonts w:ascii="Calibri" w:hAnsi="Calibri" w:cs="Calibri"/>
          <w:sz w:val="20"/>
          <w:szCs w:val="20"/>
        </w:rPr>
        <w:t>.</w:t>
      </w:r>
    </w:p>
    <w:p w14:paraId="34CBA108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34DF2B4" w14:textId="39F2C328" w:rsidR="009C039F" w:rsidRPr="007479F1" w:rsidRDefault="009C039F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>Recent changes to the U.S. Centers for Disease Control and Prevention (CDC) Advisory Committee on Immunization Practices (ACIP) have raised concerns</w:t>
      </w:r>
      <w:r w:rsidR="00EC277C" w:rsidRPr="007479F1">
        <w:rPr>
          <w:rFonts w:ascii="Calibri" w:hAnsi="Calibri" w:cs="Calibri"/>
          <w:sz w:val="20"/>
          <w:szCs w:val="20"/>
        </w:rPr>
        <w:t xml:space="preserve"> and controversy </w:t>
      </w:r>
      <w:r w:rsidRPr="007479F1">
        <w:rPr>
          <w:rFonts w:ascii="Calibri" w:hAnsi="Calibri" w:cs="Calibri"/>
          <w:sz w:val="20"/>
          <w:szCs w:val="20"/>
        </w:rPr>
        <w:t>regarding vaccine access</w:t>
      </w:r>
      <w:r w:rsidR="00DC00EB" w:rsidRPr="007479F1">
        <w:rPr>
          <w:rFonts w:ascii="Calibri" w:hAnsi="Calibri" w:cs="Calibri"/>
          <w:sz w:val="20"/>
          <w:szCs w:val="20"/>
        </w:rPr>
        <w:t xml:space="preserve"> and increased patient </w:t>
      </w:r>
      <w:r w:rsidR="00401740" w:rsidRPr="007479F1">
        <w:rPr>
          <w:rFonts w:ascii="Calibri" w:hAnsi="Calibri" w:cs="Calibri"/>
          <w:sz w:val="20"/>
          <w:szCs w:val="20"/>
        </w:rPr>
        <w:t>cost</w:t>
      </w:r>
      <w:r w:rsidR="00EB4563">
        <w:rPr>
          <w:rFonts w:ascii="Calibri" w:hAnsi="Calibri" w:cs="Calibri"/>
          <w:sz w:val="20"/>
          <w:szCs w:val="20"/>
        </w:rPr>
        <w:t>-</w:t>
      </w:r>
      <w:r w:rsidR="002966F8" w:rsidRPr="007479F1">
        <w:rPr>
          <w:rFonts w:ascii="Calibri" w:hAnsi="Calibri" w:cs="Calibri"/>
          <w:sz w:val="20"/>
          <w:szCs w:val="20"/>
        </w:rPr>
        <w:t>sharing for immunizations</w:t>
      </w:r>
      <w:r w:rsidRPr="007479F1">
        <w:rPr>
          <w:rFonts w:ascii="Calibri" w:hAnsi="Calibri" w:cs="Calibri"/>
          <w:sz w:val="20"/>
          <w:szCs w:val="20"/>
        </w:rPr>
        <w:t xml:space="preserve">. </w:t>
      </w:r>
      <w:r w:rsidR="00311DEA" w:rsidRPr="007479F1">
        <w:rPr>
          <w:rFonts w:ascii="Calibri" w:hAnsi="Calibri" w:cs="Calibri"/>
          <w:sz w:val="20"/>
          <w:szCs w:val="20"/>
        </w:rPr>
        <w:t>However, the science supporting vaccines remains unchanged – they are critical to protect</w:t>
      </w:r>
      <w:r w:rsidR="00C67174" w:rsidRPr="007479F1">
        <w:rPr>
          <w:rFonts w:ascii="Calibri" w:hAnsi="Calibri" w:cs="Calibri"/>
          <w:sz w:val="20"/>
          <w:szCs w:val="20"/>
        </w:rPr>
        <w:t>ing</w:t>
      </w:r>
      <w:r w:rsidR="00311DEA" w:rsidRPr="007479F1">
        <w:rPr>
          <w:rFonts w:ascii="Calibri" w:hAnsi="Calibri" w:cs="Calibri"/>
          <w:sz w:val="20"/>
          <w:szCs w:val="20"/>
        </w:rPr>
        <w:t xml:space="preserve"> patients</w:t>
      </w:r>
      <w:r w:rsidR="007D490E" w:rsidRPr="007479F1">
        <w:rPr>
          <w:rFonts w:ascii="Calibri" w:hAnsi="Calibri" w:cs="Calibri"/>
          <w:sz w:val="20"/>
          <w:szCs w:val="20"/>
        </w:rPr>
        <w:t>,</w:t>
      </w:r>
      <w:r w:rsidR="00311DEA" w:rsidRPr="007479F1">
        <w:rPr>
          <w:rFonts w:ascii="Calibri" w:hAnsi="Calibri" w:cs="Calibri"/>
          <w:sz w:val="20"/>
          <w:szCs w:val="20"/>
        </w:rPr>
        <w:t xml:space="preserve"> particularly clinically vulnerable populations such as children, older adults, </w:t>
      </w:r>
      <w:r w:rsidR="00EC277C" w:rsidRPr="007479F1">
        <w:rPr>
          <w:rFonts w:ascii="Calibri" w:hAnsi="Calibri" w:cs="Calibri"/>
          <w:sz w:val="20"/>
          <w:szCs w:val="20"/>
        </w:rPr>
        <w:t xml:space="preserve">the medically complex, </w:t>
      </w:r>
      <w:r w:rsidR="00311DEA" w:rsidRPr="007479F1">
        <w:rPr>
          <w:rFonts w:ascii="Calibri" w:hAnsi="Calibri" w:cs="Calibri"/>
          <w:sz w:val="20"/>
          <w:szCs w:val="20"/>
        </w:rPr>
        <w:t>pregnant women, and immunocompromised individuals</w:t>
      </w:r>
      <w:r w:rsidR="00406D36" w:rsidRPr="007479F1">
        <w:rPr>
          <w:rFonts w:ascii="Calibri" w:hAnsi="Calibri" w:cs="Calibri"/>
          <w:sz w:val="20"/>
          <w:szCs w:val="20"/>
        </w:rPr>
        <w:t>,</w:t>
      </w:r>
      <w:r w:rsidR="00A97FA0" w:rsidRPr="007479F1">
        <w:rPr>
          <w:rFonts w:ascii="Calibri" w:hAnsi="Calibri" w:cs="Calibri"/>
          <w:sz w:val="20"/>
          <w:szCs w:val="20"/>
        </w:rPr>
        <w:t xml:space="preserve"> from preventable diseases</w:t>
      </w:r>
      <w:r w:rsidR="00311DEA" w:rsidRPr="007479F1">
        <w:rPr>
          <w:rFonts w:ascii="Calibri" w:hAnsi="Calibri" w:cs="Calibri"/>
          <w:sz w:val="20"/>
          <w:szCs w:val="20"/>
        </w:rPr>
        <w:t>.</w:t>
      </w:r>
      <w:r w:rsidR="00EC277C" w:rsidRPr="007479F1">
        <w:rPr>
          <w:rFonts w:ascii="Calibri" w:hAnsi="Calibri" w:cs="Calibri"/>
          <w:sz w:val="20"/>
          <w:szCs w:val="20"/>
        </w:rPr>
        <w:t xml:space="preserve"> Furthermore, we believe decisions about appropriate immunizations should be made by patients and their caregivers with the advice of medical professionals. Should a patient consent to vaccination, we believe coverage should be provided unless</w:t>
      </w:r>
      <w:r w:rsidR="00E216A6" w:rsidRPr="007479F1">
        <w:rPr>
          <w:rFonts w:ascii="Calibri" w:hAnsi="Calibri" w:cs="Calibri"/>
          <w:sz w:val="20"/>
          <w:szCs w:val="20"/>
        </w:rPr>
        <w:t xml:space="preserve"> there is</w:t>
      </w:r>
      <w:r w:rsidR="00EC277C" w:rsidRPr="007479F1">
        <w:rPr>
          <w:rFonts w:ascii="Calibri" w:hAnsi="Calibri" w:cs="Calibri"/>
          <w:sz w:val="20"/>
          <w:szCs w:val="20"/>
        </w:rPr>
        <w:t xml:space="preserve"> clear evidence of harm or </w:t>
      </w:r>
      <w:r w:rsidR="00E216A6" w:rsidRPr="007479F1">
        <w:rPr>
          <w:rFonts w:ascii="Calibri" w:hAnsi="Calibri" w:cs="Calibri"/>
          <w:sz w:val="20"/>
          <w:szCs w:val="20"/>
        </w:rPr>
        <w:t xml:space="preserve">a high risk of an </w:t>
      </w:r>
      <w:r w:rsidR="00EC277C" w:rsidRPr="007479F1">
        <w:rPr>
          <w:rFonts w:ascii="Calibri" w:hAnsi="Calibri" w:cs="Calibri"/>
          <w:sz w:val="20"/>
          <w:szCs w:val="20"/>
        </w:rPr>
        <w:t>adverse event</w:t>
      </w:r>
      <w:r w:rsidR="00E216A6" w:rsidRPr="007479F1">
        <w:rPr>
          <w:rFonts w:ascii="Calibri" w:hAnsi="Calibri" w:cs="Calibri"/>
          <w:sz w:val="20"/>
          <w:szCs w:val="20"/>
        </w:rPr>
        <w:t>.</w:t>
      </w:r>
    </w:p>
    <w:p w14:paraId="571E24D3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CCB8CAF" w14:textId="1042CE69" w:rsidR="00912677" w:rsidRPr="007479F1" w:rsidRDefault="00DF1A3C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 xml:space="preserve">Immunizations </w:t>
      </w:r>
      <w:r w:rsidR="00912677" w:rsidRPr="007479F1">
        <w:rPr>
          <w:rFonts w:ascii="Calibri" w:hAnsi="Calibri" w:cs="Calibri"/>
          <w:sz w:val="20"/>
          <w:szCs w:val="20"/>
        </w:rPr>
        <w:t>remain one of the most cost-effective</w:t>
      </w:r>
      <w:r w:rsidR="009C039F" w:rsidRPr="007479F1">
        <w:rPr>
          <w:rStyle w:val="FootnoteReference"/>
          <w:rFonts w:ascii="Calibri" w:hAnsi="Calibri" w:cs="Calibri"/>
          <w:sz w:val="20"/>
          <w:szCs w:val="20"/>
        </w:rPr>
        <w:footnoteReference w:id="1"/>
      </w:r>
      <w:r w:rsidR="00912677" w:rsidRPr="007479F1">
        <w:rPr>
          <w:rFonts w:ascii="Calibri" w:hAnsi="Calibri" w:cs="Calibri"/>
          <w:sz w:val="20"/>
          <w:szCs w:val="20"/>
        </w:rPr>
        <w:t xml:space="preserve"> and </w:t>
      </w:r>
      <w:r w:rsidR="009C2DA8" w:rsidRPr="007479F1">
        <w:rPr>
          <w:rFonts w:ascii="Calibri" w:hAnsi="Calibri" w:cs="Calibri"/>
          <w:sz w:val="20"/>
          <w:szCs w:val="20"/>
        </w:rPr>
        <w:t>powerful</w:t>
      </w:r>
      <w:r w:rsidR="00912677" w:rsidRPr="007479F1">
        <w:rPr>
          <w:rFonts w:ascii="Calibri" w:hAnsi="Calibri" w:cs="Calibri"/>
          <w:sz w:val="20"/>
          <w:szCs w:val="20"/>
        </w:rPr>
        <w:t xml:space="preserve"> preventive measures available</w:t>
      </w:r>
      <w:r w:rsidR="00D22BCE" w:rsidRPr="007479F1">
        <w:rPr>
          <w:rFonts w:ascii="Calibri" w:hAnsi="Calibri" w:cs="Calibri"/>
          <w:sz w:val="20"/>
          <w:szCs w:val="20"/>
        </w:rPr>
        <w:t xml:space="preserve"> in medicine</w:t>
      </w:r>
      <w:r w:rsidR="00912677" w:rsidRPr="007479F1">
        <w:rPr>
          <w:rFonts w:ascii="Calibri" w:hAnsi="Calibri" w:cs="Calibri"/>
          <w:sz w:val="20"/>
          <w:szCs w:val="20"/>
        </w:rPr>
        <w:t>.</w:t>
      </w:r>
      <w:r w:rsidR="009C2DA8" w:rsidRPr="007479F1">
        <w:rPr>
          <w:rFonts w:ascii="Calibri" w:hAnsi="Calibri" w:cs="Calibri"/>
          <w:sz w:val="20"/>
          <w:szCs w:val="20"/>
        </w:rPr>
        <w:t xml:space="preserve"> </w:t>
      </w:r>
      <w:r w:rsidR="00211AB4" w:rsidRPr="007479F1">
        <w:rPr>
          <w:rFonts w:ascii="Calibri" w:hAnsi="Calibri" w:cs="Calibri"/>
          <w:sz w:val="20"/>
          <w:szCs w:val="20"/>
        </w:rPr>
        <w:t xml:space="preserve">As </w:t>
      </w:r>
      <w:r w:rsidR="003143A3" w:rsidRPr="007479F1">
        <w:rPr>
          <w:rFonts w:ascii="Calibri" w:hAnsi="Calibri" w:cs="Calibri"/>
          <w:sz w:val="20"/>
          <w:szCs w:val="20"/>
        </w:rPr>
        <w:t xml:space="preserve">demonstrated </w:t>
      </w:r>
      <w:r w:rsidR="00B9019A" w:rsidRPr="007479F1">
        <w:rPr>
          <w:rFonts w:ascii="Calibri" w:hAnsi="Calibri" w:cs="Calibri"/>
          <w:sz w:val="20"/>
          <w:szCs w:val="20"/>
        </w:rPr>
        <w:t>by the</w:t>
      </w:r>
      <w:r w:rsidR="00211AB4" w:rsidRPr="007479F1">
        <w:rPr>
          <w:rFonts w:ascii="Calibri" w:hAnsi="Calibri" w:cs="Calibri"/>
          <w:sz w:val="20"/>
          <w:szCs w:val="20"/>
        </w:rPr>
        <w:t xml:space="preserve"> ongoing measles outbreak, lower vaccination rates contribute to the </w:t>
      </w:r>
      <w:r w:rsidR="00AA6507" w:rsidRPr="007479F1">
        <w:rPr>
          <w:rFonts w:ascii="Calibri" w:hAnsi="Calibri" w:cs="Calibri"/>
          <w:sz w:val="20"/>
          <w:szCs w:val="20"/>
        </w:rPr>
        <w:t>incidence</w:t>
      </w:r>
      <w:r w:rsidR="00211AB4" w:rsidRPr="007479F1">
        <w:rPr>
          <w:rFonts w:ascii="Calibri" w:hAnsi="Calibri" w:cs="Calibri"/>
          <w:sz w:val="20"/>
          <w:szCs w:val="20"/>
        </w:rPr>
        <w:t xml:space="preserve"> of vaccine-preventable illness, resulting in </w:t>
      </w:r>
      <w:r w:rsidR="00B9019A" w:rsidRPr="007479F1">
        <w:rPr>
          <w:rFonts w:ascii="Calibri" w:hAnsi="Calibri" w:cs="Calibri"/>
          <w:sz w:val="20"/>
          <w:szCs w:val="20"/>
        </w:rPr>
        <w:t>increased</w:t>
      </w:r>
      <w:r w:rsidR="00211AB4" w:rsidRPr="007479F1">
        <w:rPr>
          <w:rFonts w:ascii="Calibri" w:hAnsi="Calibri" w:cs="Calibri"/>
          <w:sz w:val="20"/>
          <w:szCs w:val="20"/>
        </w:rPr>
        <w:t xml:space="preserve"> morbidity and mortality</w:t>
      </w:r>
      <w:r w:rsidR="006720CC" w:rsidRPr="007479F1">
        <w:rPr>
          <w:rFonts w:ascii="Calibri" w:hAnsi="Calibri" w:cs="Calibri"/>
          <w:sz w:val="20"/>
          <w:szCs w:val="20"/>
        </w:rPr>
        <w:t>,</w:t>
      </w:r>
      <w:r w:rsidR="00211AB4" w:rsidRPr="007479F1">
        <w:rPr>
          <w:rFonts w:ascii="Calibri" w:hAnsi="Calibri" w:cs="Calibri"/>
          <w:sz w:val="20"/>
          <w:szCs w:val="20"/>
        </w:rPr>
        <w:t xml:space="preserve"> and pushing up healthcare costs. </w:t>
      </w:r>
      <w:r w:rsidR="00912677" w:rsidRPr="007479F1">
        <w:rPr>
          <w:rFonts w:ascii="Calibri" w:hAnsi="Calibri" w:cs="Calibri"/>
          <w:sz w:val="20"/>
          <w:szCs w:val="20"/>
        </w:rPr>
        <w:t xml:space="preserve"> </w:t>
      </w:r>
    </w:p>
    <w:p w14:paraId="19AB748C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AA5A1CC" w14:textId="75674C3B" w:rsidR="00A457BA" w:rsidRPr="007479F1" w:rsidRDefault="00044196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 xml:space="preserve">Tens of millions of patients </w:t>
      </w:r>
      <w:r w:rsidR="00386AC1" w:rsidRPr="007479F1">
        <w:rPr>
          <w:rFonts w:ascii="Calibri" w:hAnsi="Calibri" w:cs="Calibri"/>
          <w:sz w:val="20"/>
          <w:szCs w:val="20"/>
        </w:rPr>
        <w:t xml:space="preserve">trust </w:t>
      </w:r>
      <w:r w:rsidRPr="007479F1">
        <w:rPr>
          <w:rFonts w:ascii="Calibri" w:hAnsi="Calibri" w:cs="Calibri"/>
          <w:sz w:val="20"/>
          <w:szCs w:val="20"/>
        </w:rPr>
        <w:t xml:space="preserve">their pharmacists to administer </w:t>
      </w:r>
      <w:r w:rsidR="00E05C66" w:rsidRPr="007479F1">
        <w:rPr>
          <w:rFonts w:ascii="Calibri" w:hAnsi="Calibri" w:cs="Calibri"/>
          <w:sz w:val="20"/>
          <w:szCs w:val="20"/>
        </w:rPr>
        <w:t xml:space="preserve">their </w:t>
      </w:r>
      <w:r w:rsidRPr="007479F1">
        <w:rPr>
          <w:rFonts w:ascii="Calibri" w:hAnsi="Calibri" w:cs="Calibri"/>
          <w:sz w:val="20"/>
          <w:szCs w:val="20"/>
        </w:rPr>
        <w:t xml:space="preserve">immunizations each year. </w:t>
      </w:r>
      <w:r w:rsidR="00A457BA" w:rsidRPr="007479F1">
        <w:rPr>
          <w:rFonts w:ascii="Calibri" w:hAnsi="Calibri" w:cs="Calibri"/>
          <w:sz w:val="20"/>
          <w:szCs w:val="20"/>
        </w:rPr>
        <w:t xml:space="preserve">As pharmacists, </w:t>
      </w:r>
      <w:r w:rsidR="00730994" w:rsidRPr="007479F1">
        <w:rPr>
          <w:rFonts w:ascii="Calibri" w:hAnsi="Calibri" w:cs="Calibri"/>
          <w:sz w:val="20"/>
          <w:szCs w:val="20"/>
        </w:rPr>
        <w:t>we see</w:t>
      </w:r>
      <w:r w:rsidR="001D1CC4" w:rsidRPr="007479F1">
        <w:rPr>
          <w:rFonts w:ascii="Calibri" w:hAnsi="Calibri" w:cs="Calibri"/>
          <w:sz w:val="20"/>
          <w:szCs w:val="20"/>
        </w:rPr>
        <w:t xml:space="preserve"> </w:t>
      </w:r>
      <w:r w:rsidR="00FE2399" w:rsidRPr="007479F1">
        <w:rPr>
          <w:rFonts w:ascii="Calibri" w:hAnsi="Calibri" w:cs="Calibri"/>
          <w:sz w:val="20"/>
          <w:szCs w:val="20"/>
        </w:rPr>
        <w:t xml:space="preserve">the burden </w:t>
      </w:r>
      <w:r w:rsidR="00BA25D7" w:rsidRPr="007479F1">
        <w:rPr>
          <w:rFonts w:ascii="Calibri" w:hAnsi="Calibri" w:cs="Calibri"/>
          <w:sz w:val="20"/>
          <w:szCs w:val="20"/>
        </w:rPr>
        <w:t>that</w:t>
      </w:r>
      <w:r w:rsidR="0043152A" w:rsidRPr="007479F1">
        <w:rPr>
          <w:rFonts w:ascii="Calibri" w:hAnsi="Calibri" w:cs="Calibri"/>
          <w:sz w:val="20"/>
          <w:szCs w:val="20"/>
        </w:rPr>
        <w:t xml:space="preserve"> </w:t>
      </w:r>
      <w:r w:rsidR="00585688" w:rsidRPr="007479F1">
        <w:rPr>
          <w:rFonts w:ascii="Calibri" w:hAnsi="Calibri" w:cs="Calibri"/>
          <w:sz w:val="20"/>
          <w:szCs w:val="20"/>
        </w:rPr>
        <w:t xml:space="preserve">increased </w:t>
      </w:r>
      <w:r w:rsidR="008C1E63" w:rsidRPr="007479F1">
        <w:rPr>
          <w:rFonts w:ascii="Calibri" w:hAnsi="Calibri" w:cs="Calibri"/>
          <w:sz w:val="20"/>
          <w:szCs w:val="20"/>
        </w:rPr>
        <w:t>cost</w:t>
      </w:r>
      <w:r w:rsidR="00EB4563">
        <w:rPr>
          <w:rFonts w:ascii="Calibri" w:hAnsi="Calibri" w:cs="Calibri"/>
          <w:sz w:val="20"/>
          <w:szCs w:val="20"/>
        </w:rPr>
        <w:t>-</w:t>
      </w:r>
      <w:r w:rsidR="008C1E63" w:rsidRPr="007479F1">
        <w:rPr>
          <w:rFonts w:ascii="Calibri" w:hAnsi="Calibri" w:cs="Calibri"/>
          <w:sz w:val="20"/>
          <w:szCs w:val="20"/>
        </w:rPr>
        <w:t xml:space="preserve">sharing and access restrictions </w:t>
      </w:r>
      <w:r w:rsidRPr="007479F1">
        <w:rPr>
          <w:rFonts w:ascii="Calibri" w:hAnsi="Calibri" w:cs="Calibri"/>
          <w:sz w:val="20"/>
          <w:szCs w:val="20"/>
        </w:rPr>
        <w:t>w</w:t>
      </w:r>
      <w:r w:rsidR="00B6186F" w:rsidRPr="007479F1">
        <w:rPr>
          <w:rFonts w:ascii="Calibri" w:hAnsi="Calibri" w:cs="Calibri"/>
          <w:sz w:val="20"/>
          <w:szCs w:val="20"/>
        </w:rPr>
        <w:t>ould</w:t>
      </w:r>
      <w:r w:rsidRPr="007479F1">
        <w:rPr>
          <w:rFonts w:ascii="Calibri" w:hAnsi="Calibri" w:cs="Calibri"/>
          <w:sz w:val="20"/>
          <w:szCs w:val="20"/>
        </w:rPr>
        <w:t xml:space="preserve"> </w:t>
      </w:r>
      <w:r w:rsidR="00583B8D" w:rsidRPr="007479F1">
        <w:rPr>
          <w:rFonts w:ascii="Calibri" w:hAnsi="Calibri" w:cs="Calibri"/>
          <w:sz w:val="20"/>
          <w:szCs w:val="20"/>
        </w:rPr>
        <w:t xml:space="preserve">impose on our patients and their families. </w:t>
      </w:r>
    </w:p>
    <w:p w14:paraId="4220943D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F6F843" w14:textId="5FFAAF79" w:rsidR="00912677" w:rsidRPr="007479F1" w:rsidRDefault="00617C3B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>We urge you to protect your policyholders and our patients by maintaining current immunization coverage and access without increased patient cost</w:t>
      </w:r>
      <w:r>
        <w:rPr>
          <w:rFonts w:ascii="Calibri" w:hAnsi="Calibri" w:cs="Calibri"/>
          <w:sz w:val="20"/>
          <w:szCs w:val="20"/>
        </w:rPr>
        <w:t>-s</w:t>
      </w:r>
      <w:r w:rsidRPr="007479F1">
        <w:rPr>
          <w:rFonts w:ascii="Calibri" w:hAnsi="Calibri" w:cs="Calibri"/>
          <w:sz w:val="20"/>
          <w:szCs w:val="20"/>
        </w:rPr>
        <w:t>haring</w:t>
      </w:r>
      <w:r>
        <w:rPr>
          <w:rFonts w:ascii="Calibri" w:hAnsi="Calibri" w:cs="Calibri"/>
          <w:sz w:val="20"/>
          <w:szCs w:val="20"/>
        </w:rPr>
        <w:t xml:space="preserve"> </w:t>
      </w:r>
      <w:r w:rsidRPr="005579F6">
        <w:rPr>
          <w:rFonts w:ascii="Calibri" w:hAnsi="Calibri" w:cs="Calibri"/>
          <w:sz w:val="20"/>
          <w:szCs w:val="20"/>
        </w:rPr>
        <w:t>and sharing those coverage decisions publicly</w:t>
      </w:r>
      <w:r w:rsidR="00912677" w:rsidRPr="007479F1">
        <w:rPr>
          <w:rFonts w:ascii="Calibri" w:hAnsi="Calibri" w:cs="Calibri"/>
          <w:sz w:val="20"/>
          <w:szCs w:val="20"/>
        </w:rPr>
        <w:t xml:space="preserve">. </w:t>
      </w:r>
      <w:r w:rsidR="00311DEA" w:rsidRPr="007479F1">
        <w:rPr>
          <w:rFonts w:ascii="Calibri" w:hAnsi="Calibri" w:cs="Calibri"/>
          <w:sz w:val="20"/>
          <w:szCs w:val="20"/>
        </w:rPr>
        <w:t>We thank you for your consideration and look forward to work</w:t>
      </w:r>
      <w:r w:rsidR="00524C47" w:rsidRPr="007479F1">
        <w:rPr>
          <w:rFonts w:ascii="Calibri" w:hAnsi="Calibri" w:cs="Calibri"/>
          <w:sz w:val="20"/>
          <w:szCs w:val="20"/>
        </w:rPr>
        <w:t>ing</w:t>
      </w:r>
      <w:r w:rsidR="00311DEA" w:rsidRPr="007479F1">
        <w:rPr>
          <w:rFonts w:ascii="Calibri" w:hAnsi="Calibri" w:cs="Calibri"/>
          <w:sz w:val="20"/>
          <w:szCs w:val="20"/>
        </w:rPr>
        <w:t xml:space="preserve"> with you </w:t>
      </w:r>
      <w:r w:rsidR="00524C47" w:rsidRPr="007479F1">
        <w:rPr>
          <w:rFonts w:ascii="Calibri" w:hAnsi="Calibri" w:cs="Calibri"/>
          <w:sz w:val="20"/>
          <w:szCs w:val="20"/>
        </w:rPr>
        <w:t xml:space="preserve">to care for our patients. </w:t>
      </w:r>
      <w:r w:rsidR="00311DEA" w:rsidRPr="007479F1">
        <w:rPr>
          <w:rFonts w:ascii="Calibri" w:hAnsi="Calibri" w:cs="Calibri"/>
          <w:sz w:val="20"/>
          <w:szCs w:val="20"/>
        </w:rPr>
        <w:t xml:space="preserve"> </w:t>
      </w:r>
    </w:p>
    <w:p w14:paraId="17EFEA32" w14:textId="77777777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C9FD1A3" w14:textId="3E7BD17B" w:rsidR="00311DEA" w:rsidRPr="007479F1" w:rsidRDefault="00311DEA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79F1">
        <w:rPr>
          <w:rFonts w:ascii="Calibri" w:hAnsi="Calibri" w:cs="Calibri"/>
          <w:sz w:val="20"/>
          <w:szCs w:val="20"/>
        </w:rPr>
        <w:t>Sincerely,</w:t>
      </w:r>
    </w:p>
    <w:p w14:paraId="02224250" w14:textId="77777777" w:rsidR="00311DEA" w:rsidRPr="007479F1" w:rsidRDefault="00311DEA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D6C49D2" w14:textId="77777777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  <w:sectPr w:rsidR="007479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BF1CEA" w14:textId="77777777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American Association of Colleges of Pharmacy </w:t>
      </w:r>
    </w:p>
    <w:p w14:paraId="4F9C6015" w14:textId="7FD6838D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American Association of Psychiatric Pharmacists American College of Clinical Pharmacy </w:t>
      </w:r>
    </w:p>
    <w:p w14:paraId="393B3C72" w14:textId="02675419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Hematology/Oncology Pharmacy As</w:t>
      </w:r>
      <w:r w:rsidR="00EB4563">
        <w:rPr>
          <w:rFonts w:ascii="Calibri" w:hAnsi="Calibri" w:cs="Calibri"/>
          <w:sz w:val="20"/>
          <w:szCs w:val="20"/>
        </w:rPr>
        <w:t>sociation</w:t>
      </w:r>
    </w:p>
    <w:p w14:paraId="4259F66A" w14:textId="77777777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American Society of Health-System Pharmacists</w:t>
      </w:r>
    </w:p>
    <w:p w14:paraId="5633A264" w14:textId="4D8A599B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American Pharmacists Association</w:t>
      </w:r>
    </w:p>
    <w:p w14:paraId="51B12F20" w14:textId="635886AE" w:rsidR="00311DEA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American Society of Consultant Pharmacists</w:t>
      </w:r>
    </w:p>
    <w:p w14:paraId="6E58E510" w14:textId="77777777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  <w:sectPr w:rsidR="007479F1" w:rsidSect="007479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1AF192" w14:textId="77777777" w:rsid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National Community Pharmacists Association </w:t>
      </w:r>
    </w:p>
    <w:p w14:paraId="5F43EE8A" w14:textId="18EE82C1" w:rsidR="007479F1" w:rsidRPr="007479F1" w:rsidRDefault="007479F1" w:rsidP="007479F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National Alliance of State Pharmacy Associations</w:t>
      </w:r>
    </w:p>
    <w:sectPr w:rsidR="007479F1" w:rsidRPr="007479F1" w:rsidSect="007479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363C" w14:textId="77777777" w:rsidR="00DE68D8" w:rsidRDefault="00DE68D8" w:rsidP="009C039F">
      <w:pPr>
        <w:spacing w:after="0" w:line="240" w:lineRule="auto"/>
      </w:pPr>
      <w:r>
        <w:separator/>
      </w:r>
    </w:p>
  </w:endnote>
  <w:endnote w:type="continuationSeparator" w:id="0">
    <w:p w14:paraId="7D2BE1F8" w14:textId="77777777" w:rsidR="00DE68D8" w:rsidRDefault="00DE68D8" w:rsidP="009C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8D86" w14:textId="77777777" w:rsidR="00DE68D8" w:rsidRDefault="00DE68D8" w:rsidP="009C039F">
      <w:pPr>
        <w:spacing w:after="0" w:line="240" w:lineRule="auto"/>
      </w:pPr>
      <w:r>
        <w:separator/>
      </w:r>
    </w:p>
  </w:footnote>
  <w:footnote w:type="continuationSeparator" w:id="0">
    <w:p w14:paraId="08ED2411" w14:textId="77777777" w:rsidR="00DE68D8" w:rsidRDefault="00DE68D8" w:rsidP="009C039F">
      <w:pPr>
        <w:spacing w:after="0" w:line="240" w:lineRule="auto"/>
      </w:pPr>
      <w:r>
        <w:continuationSeparator/>
      </w:r>
    </w:p>
  </w:footnote>
  <w:footnote w:id="1">
    <w:p w14:paraId="4C3A4634" w14:textId="1907EDBA" w:rsidR="009C039F" w:rsidRDefault="009C03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79F1">
        <w:rPr>
          <w:sz w:val="18"/>
          <w:szCs w:val="18"/>
        </w:rPr>
        <w:t>See, e.g., F</w:t>
      </w:r>
      <w:r w:rsidR="00AF6C80" w:rsidRPr="007479F1">
        <w:rPr>
          <w:sz w:val="18"/>
          <w:szCs w:val="18"/>
        </w:rPr>
        <w:t xml:space="preserve">. </w:t>
      </w:r>
      <w:r w:rsidRPr="007479F1">
        <w:rPr>
          <w:sz w:val="18"/>
          <w:szCs w:val="18"/>
        </w:rPr>
        <w:t xml:space="preserve">Zhou et al., “Health and Economic Benefits of Routine Childhood Immunizations in the Era of the Vaccines for Children Program — United States, 1994–2023,” CDC Weekly (Aug. 8, 2024), available at </w:t>
      </w:r>
      <w:hyperlink r:id="rId1" w:history="1">
        <w:r w:rsidR="00AF6C80" w:rsidRPr="007479F1">
          <w:rPr>
            <w:rStyle w:val="Hyperlink"/>
            <w:sz w:val="18"/>
            <w:szCs w:val="18"/>
          </w:rPr>
          <w:t>https://www.cdc.gov/mmwr/volumes/73/wr/mm7331a2</w:t>
        </w:r>
      </w:hyperlink>
      <w:r w:rsidR="00AF6C80" w:rsidRPr="007479F1">
        <w:rPr>
          <w:sz w:val="18"/>
          <w:szCs w:val="18"/>
        </w:rPr>
        <w:t xml:space="preserve">; A. Meita Utami et al., “Economic Evaluation of COVID-19 Vaccination: A Systematic Review,” J. Glob. Health (Jan. 14, 2023), available at </w:t>
      </w:r>
      <w:hyperlink r:id="rId2" w:history="1">
        <w:r w:rsidR="00AF6C80" w:rsidRPr="007479F1">
          <w:rPr>
            <w:rStyle w:val="Hyperlink"/>
            <w:sz w:val="18"/>
            <w:szCs w:val="18"/>
          </w:rPr>
          <w:t>https://pmc.ncbi.nlm.nih.gov/articles/PMC9838689/pdf/jogh-13-06001.pdf</w:t>
        </w:r>
      </w:hyperlink>
      <w:r w:rsidR="00AF6C80" w:rsidRPr="007479F1">
        <w:rPr>
          <w:sz w:val="18"/>
          <w:szCs w:val="18"/>
        </w:rPr>
        <w:t>; A. Leidner et al, “Cost-Effectiveness of Adult Vaccinations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90D"/>
    <w:multiLevelType w:val="multilevel"/>
    <w:tmpl w:val="ADCA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09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77"/>
    <w:rsid w:val="000039C2"/>
    <w:rsid w:val="00004540"/>
    <w:rsid w:val="00004955"/>
    <w:rsid w:val="000306A0"/>
    <w:rsid w:val="00031315"/>
    <w:rsid w:val="00036DF7"/>
    <w:rsid w:val="00044196"/>
    <w:rsid w:val="000442F2"/>
    <w:rsid w:val="0005482F"/>
    <w:rsid w:val="00063E5D"/>
    <w:rsid w:val="00067017"/>
    <w:rsid w:val="00072D75"/>
    <w:rsid w:val="0008404D"/>
    <w:rsid w:val="0009166A"/>
    <w:rsid w:val="000A32BE"/>
    <w:rsid w:val="000B4D8D"/>
    <w:rsid w:val="000C3B35"/>
    <w:rsid w:val="000D397B"/>
    <w:rsid w:val="000D779E"/>
    <w:rsid w:val="000E644B"/>
    <w:rsid w:val="000F3952"/>
    <w:rsid w:val="00114EF6"/>
    <w:rsid w:val="00116D56"/>
    <w:rsid w:val="00122C57"/>
    <w:rsid w:val="0013611C"/>
    <w:rsid w:val="00136E3F"/>
    <w:rsid w:val="00182324"/>
    <w:rsid w:val="0019112D"/>
    <w:rsid w:val="001916B4"/>
    <w:rsid w:val="001A7054"/>
    <w:rsid w:val="001B5515"/>
    <w:rsid w:val="001B7DC8"/>
    <w:rsid w:val="001C46AF"/>
    <w:rsid w:val="001D0288"/>
    <w:rsid w:val="001D1CC4"/>
    <w:rsid w:val="001E22E3"/>
    <w:rsid w:val="001F5BF3"/>
    <w:rsid w:val="00204875"/>
    <w:rsid w:val="00211AB4"/>
    <w:rsid w:val="002426D7"/>
    <w:rsid w:val="00257F73"/>
    <w:rsid w:val="002630A6"/>
    <w:rsid w:val="00271341"/>
    <w:rsid w:val="002765A2"/>
    <w:rsid w:val="00276FEE"/>
    <w:rsid w:val="00277153"/>
    <w:rsid w:val="002966F8"/>
    <w:rsid w:val="002A450F"/>
    <w:rsid w:val="002A611F"/>
    <w:rsid w:val="002B7F90"/>
    <w:rsid w:val="002F1897"/>
    <w:rsid w:val="002F1AED"/>
    <w:rsid w:val="002F78BE"/>
    <w:rsid w:val="00311DEA"/>
    <w:rsid w:val="003143A3"/>
    <w:rsid w:val="00321704"/>
    <w:rsid w:val="00323020"/>
    <w:rsid w:val="00323CBB"/>
    <w:rsid w:val="00331FBC"/>
    <w:rsid w:val="003341F8"/>
    <w:rsid w:val="00337EAE"/>
    <w:rsid w:val="00340FAA"/>
    <w:rsid w:val="00341231"/>
    <w:rsid w:val="00346D2B"/>
    <w:rsid w:val="00347493"/>
    <w:rsid w:val="00363ABD"/>
    <w:rsid w:val="00366442"/>
    <w:rsid w:val="00381E3F"/>
    <w:rsid w:val="00383327"/>
    <w:rsid w:val="00386AC1"/>
    <w:rsid w:val="00393EBE"/>
    <w:rsid w:val="003955CF"/>
    <w:rsid w:val="003A37DD"/>
    <w:rsid w:val="003C269C"/>
    <w:rsid w:val="003D05FE"/>
    <w:rsid w:val="003D08DE"/>
    <w:rsid w:val="003D0D2B"/>
    <w:rsid w:val="003D3006"/>
    <w:rsid w:val="003D604D"/>
    <w:rsid w:val="003E42C2"/>
    <w:rsid w:val="003E4681"/>
    <w:rsid w:val="003F41CF"/>
    <w:rsid w:val="00401740"/>
    <w:rsid w:val="00406D36"/>
    <w:rsid w:val="004124E5"/>
    <w:rsid w:val="0041395C"/>
    <w:rsid w:val="0043152A"/>
    <w:rsid w:val="00443FEF"/>
    <w:rsid w:val="00444DA5"/>
    <w:rsid w:val="00445E42"/>
    <w:rsid w:val="00446F7B"/>
    <w:rsid w:val="00447597"/>
    <w:rsid w:val="00460C52"/>
    <w:rsid w:val="004C02B2"/>
    <w:rsid w:val="004E27F3"/>
    <w:rsid w:val="00504CF6"/>
    <w:rsid w:val="00505C08"/>
    <w:rsid w:val="0052144F"/>
    <w:rsid w:val="00524C47"/>
    <w:rsid w:val="00543A28"/>
    <w:rsid w:val="00554151"/>
    <w:rsid w:val="00554B48"/>
    <w:rsid w:val="0057279C"/>
    <w:rsid w:val="005821A6"/>
    <w:rsid w:val="00583B8D"/>
    <w:rsid w:val="005852B5"/>
    <w:rsid w:val="00585688"/>
    <w:rsid w:val="00591DAD"/>
    <w:rsid w:val="005A68EB"/>
    <w:rsid w:val="005B2D3B"/>
    <w:rsid w:val="005B4128"/>
    <w:rsid w:val="005C7392"/>
    <w:rsid w:val="005D5C4E"/>
    <w:rsid w:val="005D7D69"/>
    <w:rsid w:val="005E15B9"/>
    <w:rsid w:val="005F102E"/>
    <w:rsid w:val="006111DC"/>
    <w:rsid w:val="006140FC"/>
    <w:rsid w:val="00616039"/>
    <w:rsid w:val="00617C3B"/>
    <w:rsid w:val="00651902"/>
    <w:rsid w:val="00662A06"/>
    <w:rsid w:val="00671D9C"/>
    <w:rsid w:val="006720CC"/>
    <w:rsid w:val="006757DA"/>
    <w:rsid w:val="006763B9"/>
    <w:rsid w:val="006A3658"/>
    <w:rsid w:val="006B0A66"/>
    <w:rsid w:val="006C097D"/>
    <w:rsid w:val="006C1222"/>
    <w:rsid w:val="006F31D0"/>
    <w:rsid w:val="00711879"/>
    <w:rsid w:val="007176D0"/>
    <w:rsid w:val="00730994"/>
    <w:rsid w:val="0073188B"/>
    <w:rsid w:val="007325AA"/>
    <w:rsid w:val="00734FAA"/>
    <w:rsid w:val="00736229"/>
    <w:rsid w:val="007408B6"/>
    <w:rsid w:val="007479F1"/>
    <w:rsid w:val="0075004D"/>
    <w:rsid w:val="00764B19"/>
    <w:rsid w:val="007657BE"/>
    <w:rsid w:val="00776266"/>
    <w:rsid w:val="00784E43"/>
    <w:rsid w:val="007A241A"/>
    <w:rsid w:val="007A4199"/>
    <w:rsid w:val="007A79C4"/>
    <w:rsid w:val="007C6DD0"/>
    <w:rsid w:val="007D490E"/>
    <w:rsid w:val="007E0556"/>
    <w:rsid w:val="00803F6A"/>
    <w:rsid w:val="008149D9"/>
    <w:rsid w:val="0082746E"/>
    <w:rsid w:val="00830651"/>
    <w:rsid w:val="0084546A"/>
    <w:rsid w:val="008479A1"/>
    <w:rsid w:val="008571C1"/>
    <w:rsid w:val="00865321"/>
    <w:rsid w:val="00867B91"/>
    <w:rsid w:val="00875EA6"/>
    <w:rsid w:val="00893EC8"/>
    <w:rsid w:val="00895C1A"/>
    <w:rsid w:val="008A12FD"/>
    <w:rsid w:val="008A1965"/>
    <w:rsid w:val="008B3DE8"/>
    <w:rsid w:val="008C1E63"/>
    <w:rsid w:val="008C5A03"/>
    <w:rsid w:val="008D355D"/>
    <w:rsid w:val="008E3085"/>
    <w:rsid w:val="00912677"/>
    <w:rsid w:val="00922D21"/>
    <w:rsid w:val="00924BAC"/>
    <w:rsid w:val="009278B7"/>
    <w:rsid w:val="0093021E"/>
    <w:rsid w:val="00933D67"/>
    <w:rsid w:val="00950F51"/>
    <w:rsid w:val="00954460"/>
    <w:rsid w:val="00957329"/>
    <w:rsid w:val="00957499"/>
    <w:rsid w:val="00981447"/>
    <w:rsid w:val="009942C4"/>
    <w:rsid w:val="009976F2"/>
    <w:rsid w:val="009A0A87"/>
    <w:rsid w:val="009A0FBE"/>
    <w:rsid w:val="009A1E24"/>
    <w:rsid w:val="009A2037"/>
    <w:rsid w:val="009C039F"/>
    <w:rsid w:val="009C2DA8"/>
    <w:rsid w:val="009C3CA4"/>
    <w:rsid w:val="009D204C"/>
    <w:rsid w:val="009F43FF"/>
    <w:rsid w:val="009F51A8"/>
    <w:rsid w:val="009F6F44"/>
    <w:rsid w:val="00A20729"/>
    <w:rsid w:val="00A20C15"/>
    <w:rsid w:val="00A21116"/>
    <w:rsid w:val="00A264C5"/>
    <w:rsid w:val="00A42DE9"/>
    <w:rsid w:val="00A457BA"/>
    <w:rsid w:val="00A45C20"/>
    <w:rsid w:val="00A508E5"/>
    <w:rsid w:val="00A514A7"/>
    <w:rsid w:val="00A55930"/>
    <w:rsid w:val="00A55DA2"/>
    <w:rsid w:val="00A603BF"/>
    <w:rsid w:val="00A70580"/>
    <w:rsid w:val="00A97FA0"/>
    <w:rsid w:val="00AA3276"/>
    <w:rsid w:val="00AA6507"/>
    <w:rsid w:val="00AC1FA2"/>
    <w:rsid w:val="00AE2D06"/>
    <w:rsid w:val="00AE6EF7"/>
    <w:rsid w:val="00AF6C80"/>
    <w:rsid w:val="00B027D1"/>
    <w:rsid w:val="00B028E2"/>
    <w:rsid w:val="00B043BB"/>
    <w:rsid w:val="00B144AF"/>
    <w:rsid w:val="00B153C9"/>
    <w:rsid w:val="00B15F21"/>
    <w:rsid w:val="00B378E1"/>
    <w:rsid w:val="00B44E3F"/>
    <w:rsid w:val="00B5321E"/>
    <w:rsid w:val="00B55940"/>
    <w:rsid w:val="00B6186F"/>
    <w:rsid w:val="00B6792A"/>
    <w:rsid w:val="00B867CE"/>
    <w:rsid w:val="00B86FA3"/>
    <w:rsid w:val="00B9019A"/>
    <w:rsid w:val="00BA25D7"/>
    <w:rsid w:val="00BB4134"/>
    <w:rsid w:val="00BC0FB0"/>
    <w:rsid w:val="00BC1E45"/>
    <w:rsid w:val="00BC20CA"/>
    <w:rsid w:val="00BC7531"/>
    <w:rsid w:val="00BD58E5"/>
    <w:rsid w:val="00C03370"/>
    <w:rsid w:val="00C064D3"/>
    <w:rsid w:val="00C14BC7"/>
    <w:rsid w:val="00C27CFF"/>
    <w:rsid w:val="00C4056D"/>
    <w:rsid w:val="00C67174"/>
    <w:rsid w:val="00C832A2"/>
    <w:rsid w:val="00C90503"/>
    <w:rsid w:val="00C93D46"/>
    <w:rsid w:val="00CA3B25"/>
    <w:rsid w:val="00CB6E20"/>
    <w:rsid w:val="00CD472F"/>
    <w:rsid w:val="00CE486F"/>
    <w:rsid w:val="00D0064F"/>
    <w:rsid w:val="00D01F16"/>
    <w:rsid w:val="00D04ACB"/>
    <w:rsid w:val="00D167D4"/>
    <w:rsid w:val="00D22BCE"/>
    <w:rsid w:val="00D242C1"/>
    <w:rsid w:val="00D2625B"/>
    <w:rsid w:val="00D27017"/>
    <w:rsid w:val="00D319A4"/>
    <w:rsid w:val="00D40BEA"/>
    <w:rsid w:val="00D467A6"/>
    <w:rsid w:val="00D54269"/>
    <w:rsid w:val="00D70C59"/>
    <w:rsid w:val="00D72EB9"/>
    <w:rsid w:val="00D77C4B"/>
    <w:rsid w:val="00D801EB"/>
    <w:rsid w:val="00D831B5"/>
    <w:rsid w:val="00D92B19"/>
    <w:rsid w:val="00D973C7"/>
    <w:rsid w:val="00DA0210"/>
    <w:rsid w:val="00DA0385"/>
    <w:rsid w:val="00DA0F7C"/>
    <w:rsid w:val="00DA38BF"/>
    <w:rsid w:val="00DA4CF9"/>
    <w:rsid w:val="00DB0526"/>
    <w:rsid w:val="00DC00EB"/>
    <w:rsid w:val="00DC30CF"/>
    <w:rsid w:val="00DE68D8"/>
    <w:rsid w:val="00DF1A3C"/>
    <w:rsid w:val="00DF29E5"/>
    <w:rsid w:val="00E00372"/>
    <w:rsid w:val="00E05C66"/>
    <w:rsid w:val="00E16371"/>
    <w:rsid w:val="00E167A0"/>
    <w:rsid w:val="00E216A6"/>
    <w:rsid w:val="00E25275"/>
    <w:rsid w:val="00E30E6C"/>
    <w:rsid w:val="00E3137D"/>
    <w:rsid w:val="00E37955"/>
    <w:rsid w:val="00E403F8"/>
    <w:rsid w:val="00E4392E"/>
    <w:rsid w:val="00E43C6B"/>
    <w:rsid w:val="00E503DB"/>
    <w:rsid w:val="00E521CA"/>
    <w:rsid w:val="00E55EF6"/>
    <w:rsid w:val="00E6039F"/>
    <w:rsid w:val="00E6267B"/>
    <w:rsid w:val="00E639BE"/>
    <w:rsid w:val="00E84BBB"/>
    <w:rsid w:val="00E928C3"/>
    <w:rsid w:val="00EB4563"/>
    <w:rsid w:val="00EB6298"/>
    <w:rsid w:val="00EC045A"/>
    <w:rsid w:val="00EC277C"/>
    <w:rsid w:val="00EC709C"/>
    <w:rsid w:val="00ED15C3"/>
    <w:rsid w:val="00ED7100"/>
    <w:rsid w:val="00ED731C"/>
    <w:rsid w:val="00EF38F2"/>
    <w:rsid w:val="00F00576"/>
    <w:rsid w:val="00F054E2"/>
    <w:rsid w:val="00F10125"/>
    <w:rsid w:val="00F15127"/>
    <w:rsid w:val="00F167D3"/>
    <w:rsid w:val="00F34BC5"/>
    <w:rsid w:val="00F40858"/>
    <w:rsid w:val="00F40F89"/>
    <w:rsid w:val="00F4714D"/>
    <w:rsid w:val="00F86902"/>
    <w:rsid w:val="00F944AE"/>
    <w:rsid w:val="00F979A4"/>
    <w:rsid w:val="00FA17AE"/>
    <w:rsid w:val="00FA27FA"/>
    <w:rsid w:val="00FA657A"/>
    <w:rsid w:val="00FA6AD7"/>
    <w:rsid w:val="00FA7F35"/>
    <w:rsid w:val="00FC3760"/>
    <w:rsid w:val="00FC6FE0"/>
    <w:rsid w:val="00FD1158"/>
    <w:rsid w:val="00FD665A"/>
    <w:rsid w:val="00FE2399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0D8D"/>
  <w15:chartTrackingRefBased/>
  <w15:docId w15:val="{DD8AFB5E-6844-4F08-9B6A-50CA0CB1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67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0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3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03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6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1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D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499"/>
  </w:style>
  <w:style w:type="paragraph" w:styleId="Footer">
    <w:name w:val="footer"/>
    <w:basedOn w:val="Normal"/>
    <w:link w:val="FooterChar"/>
    <w:uiPriority w:val="99"/>
    <w:semiHidden/>
    <w:unhideWhenUsed/>
    <w:rsid w:val="009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499"/>
  </w:style>
  <w:style w:type="paragraph" w:styleId="Revision">
    <w:name w:val="Revision"/>
    <w:hidden/>
    <w:uiPriority w:val="99"/>
    <w:semiHidden/>
    <w:rsid w:val="00E62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mc.ncbi.nlm.nih.gov/articles/PMC9838689/pdf/jogh-13-06001.pdf" TargetMode="External"/><Relationship Id="rId1" Type="http://schemas.openxmlformats.org/officeDocument/2006/relationships/hyperlink" Target="https://www.cdc.gov/mmwr/volumes/73/wr/mm7331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3984-8C06-46F0-AE1C-279B1AD6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ASHP</Company>
  <LinksUpToDate>false</LinksUpToDate>
  <CharactersWithSpaces>2618</CharactersWithSpaces>
  <SharedDoc>false</SharedDoc>
  <HLinks>
    <vt:vector size="12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https://pmc.ncbi.nlm.nih.gov/articles/PMC9838689/pdf/jogh-13-06001.pdf</vt:lpwstr>
      </vt:variant>
      <vt:variant>
        <vt:lpwstr/>
      </vt:variant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https://www.cdc.gov/mmwr/volumes/73/wr/mm7331a2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Jillanne Schulte</dc:creator>
  <cp:keywords/>
  <dc:description/>
  <cp:lastModifiedBy>Jillanne Schulte</cp:lastModifiedBy>
  <cp:revision>6</cp:revision>
  <dcterms:created xsi:type="dcterms:W3CDTF">2025-07-07T15:07:00Z</dcterms:created>
  <dcterms:modified xsi:type="dcterms:W3CDTF">2025-07-07T20:17:00Z</dcterms:modified>
</cp:coreProperties>
</file>