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58FF" w14:textId="79749A01"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 xml:space="preserve">October </w:t>
      </w:r>
      <w:r w:rsidR="006C0CE3">
        <w:rPr>
          <w:rFonts w:asciiTheme="minorHAnsi" w:eastAsiaTheme="minorEastAsia" w:hAnsiTheme="minorHAnsi" w:cstheme="minorBidi"/>
          <w:noProof/>
          <w:sz w:val="22"/>
          <w:szCs w:val="22"/>
        </w:rPr>
        <w:t>30</w:t>
      </w:r>
      <w:r w:rsidRPr="006C0CE3">
        <w:rPr>
          <w:rFonts w:asciiTheme="minorHAnsi" w:eastAsiaTheme="minorEastAsia" w:hAnsiTheme="minorHAnsi" w:cstheme="minorBidi"/>
          <w:noProof/>
          <w:sz w:val="22"/>
          <w:szCs w:val="22"/>
        </w:rPr>
        <w:t>, 2025</w:t>
      </w:r>
    </w:p>
    <w:p w14:paraId="7C746992" w14:textId="77777777" w:rsidR="00973EBE" w:rsidRPr="006C0CE3" w:rsidRDefault="00973EBE" w:rsidP="768556BD">
      <w:pPr>
        <w:rPr>
          <w:rFonts w:asciiTheme="minorHAnsi" w:eastAsiaTheme="minorEastAsia" w:hAnsiTheme="minorHAnsi" w:cstheme="minorBidi"/>
          <w:noProof/>
          <w:sz w:val="22"/>
          <w:szCs w:val="22"/>
        </w:rPr>
      </w:pPr>
    </w:p>
    <w:p w14:paraId="010C2AC5" w14:textId="77777777" w:rsidR="000169B9" w:rsidRPr="006C0CE3" w:rsidRDefault="000169B9" w:rsidP="768556BD">
      <w:pPr>
        <w:rPr>
          <w:rFonts w:asciiTheme="minorHAnsi" w:eastAsiaTheme="minorEastAsia" w:hAnsiTheme="minorHAnsi" w:cstheme="minorBidi"/>
          <w:noProof/>
          <w:sz w:val="22"/>
          <w:szCs w:val="22"/>
        </w:rPr>
      </w:pPr>
    </w:p>
    <w:p w14:paraId="42DF1F1B" w14:textId="77777777"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Mehmet Oz, M.D.</w:t>
      </w:r>
      <w:r>
        <w:br/>
      </w:r>
      <w:r w:rsidRPr="006C0CE3">
        <w:rPr>
          <w:rFonts w:asciiTheme="minorHAnsi" w:eastAsiaTheme="minorEastAsia" w:hAnsiTheme="minorHAnsi" w:cstheme="minorBidi"/>
          <w:noProof/>
          <w:sz w:val="22"/>
          <w:szCs w:val="22"/>
        </w:rPr>
        <w:t>Administrator</w:t>
      </w:r>
      <w:r>
        <w:br/>
      </w:r>
      <w:r w:rsidRPr="006C0CE3">
        <w:rPr>
          <w:rFonts w:asciiTheme="minorHAnsi" w:eastAsiaTheme="minorEastAsia" w:hAnsiTheme="minorHAnsi" w:cstheme="minorBidi"/>
          <w:noProof/>
          <w:sz w:val="22"/>
          <w:szCs w:val="22"/>
        </w:rPr>
        <w:t>Centers for Medicare &amp; Medicaid Services</w:t>
      </w:r>
      <w:r>
        <w:br/>
      </w:r>
      <w:r w:rsidRPr="006C0CE3">
        <w:rPr>
          <w:rFonts w:asciiTheme="minorHAnsi" w:eastAsiaTheme="minorEastAsia" w:hAnsiTheme="minorHAnsi" w:cstheme="minorBidi"/>
          <w:noProof/>
          <w:sz w:val="22"/>
          <w:szCs w:val="22"/>
        </w:rPr>
        <w:t>U.S. Department of Health and Human Services</w:t>
      </w:r>
      <w:r>
        <w:br/>
      </w:r>
      <w:r w:rsidRPr="006C0CE3">
        <w:rPr>
          <w:rFonts w:asciiTheme="minorHAnsi" w:eastAsiaTheme="minorEastAsia" w:hAnsiTheme="minorHAnsi" w:cstheme="minorBidi"/>
          <w:noProof/>
          <w:sz w:val="22"/>
          <w:szCs w:val="22"/>
        </w:rPr>
        <w:t>7500 Security Boulevard</w:t>
      </w:r>
      <w:r>
        <w:br/>
      </w:r>
      <w:r w:rsidRPr="006C0CE3">
        <w:rPr>
          <w:rFonts w:asciiTheme="minorHAnsi" w:eastAsiaTheme="minorEastAsia" w:hAnsiTheme="minorHAnsi" w:cstheme="minorBidi"/>
          <w:noProof/>
          <w:sz w:val="22"/>
          <w:szCs w:val="22"/>
        </w:rPr>
        <w:t>Baltimore, MD 21244-8016</w:t>
      </w:r>
    </w:p>
    <w:p w14:paraId="547C9F9D" w14:textId="77777777" w:rsidR="00973EBE" w:rsidRPr="006C0CE3" w:rsidRDefault="00973EBE" w:rsidP="768556BD">
      <w:pPr>
        <w:rPr>
          <w:rFonts w:asciiTheme="minorHAnsi" w:eastAsiaTheme="minorEastAsia" w:hAnsiTheme="minorHAnsi" w:cstheme="minorBidi"/>
          <w:noProof/>
          <w:sz w:val="22"/>
          <w:szCs w:val="22"/>
        </w:rPr>
      </w:pPr>
    </w:p>
    <w:p w14:paraId="04B91AF1" w14:textId="77777777" w:rsidR="00973EBE" w:rsidRPr="006C0CE3" w:rsidRDefault="00973EBE" w:rsidP="768556BD">
      <w:pPr>
        <w:rPr>
          <w:rFonts w:asciiTheme="minorHAnsi" w:eastAsiaTheme="minorEastAsia" w:hAnsiTheme="minorHAnsi" w:cstheme="minorBidi"/>
          <w:b/>
          <w:bCs/>
          <w:noProof/>
          <w:sz w:val="22"/>
          <w:szCs w:val="22"/>
        </w:rPr>
      </w:pPr>
      <w:r w:rsidRPr="006C0CE3">
        <w:rPr>
          <w:rFonts w:asciiTheme="minorHAnsi" w:eastAsiaTheme="minorEastAsia" w:hAnsiTheme="minorHAnsi" w:cstheme="minorBidi"/>
          <w:b/>
          <w:bCs/>
          <w:noProof/>
          <w:sz w:val="22"/>
          <w:szCs w:val="22"/>
        </w:rPr>
        <w:t>RE: Request for CMS to Require Upfront Manufacturer Discounts for Maximum Fair Price Effectuation under the Inflation Reduction Act</w:t>
      </w:r>
    </w:p>
    <w:p w14:paraId="56F7ED80" w14:textId="77777777" w:rsidR="00973EBE" w:rsidRPr="006C0CE3" w:rsidRDefault="00973EBE" w:rsidP="768556BD">
      <w:pPr>
        <w:rPr>
          <w:rFonts w:asciiTheme="minorHAnsi" w:eastAsiaTheme="minorEastAsia" w:hAnsiTheme="minorHAnsi" w:cstheme="minorBidi"/>
          <w:noProof/>
          <w:sz w:val="22"/>
          <w:szCs w:val="22"/>
        </w:rPr>
      </w:pPr>
    </w:p>
    <w:p w14:paraId="4C4B31A5" w14:textId="77777777"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Dear Administrator Oz:</w:t>
      </w:r>
    </w:p>
    <w:p w14:paraId="5FD352A4" w14:textId="77777777" w:rsidR="00973EBE" w:rsidRPr="006C0CE3" w:rsidRDefault="00973EBE" w:rsidP="768556BD">
      <w:pPr>
        <w:rPr>
          <w:rFonts w:asciiTheme="minorHAnsi" w:eastAsiaTheme="minorEastAsia" w:hAnsiTheme="minorHAnsi" w:cstheme="minorBidi"/>
          <w:noProof/>
          <w:sz w:val="22"/>
          <w:szCs w:val="22"/>
        </w:rPr>
      </w:pPr>
    </w:p>
    <w:p w14:paraId="7BBC5337" w14:textId="65C8712E" w:rsidR="00973EBE" w:rsidRPr="006C0CE3" w:rsidRDefault="00973EBE" w:rsidP="768556BD">
      <w:pPr>
        <w:rPr>
          <w:rFonts w:asciiTheme="minorHAnsi" w:eastAsiaTheme="minorEastAsia" w:hAnsiTheme="minorHAnsi" w:cstheme="minorBidi"/>
          <w:sz w:val="22"/>
          <w:szCs w:val="22"/>
        </w:rPr>
      </w:pPr>
      <w:r w:rsidRPr="006C0CE3">
        <w:rPr>
          <w:rFonts w:asciiTheme="minorHAnsi" w:eastAsiaTheme="minorEastAsia" w:hAnsiTheme="minorHAnsi" w:cstheme="minorBidi"/>
          <w:sz w:val="22"/>
          <w:szCs w:val="22"/>
        </w:rPr>
        <w:t xml:space="preserve">For decades, the American people have been at the mercy of a healthcare system that rewards obscurity and inefficiency. Those defects especially plague the delivery of critical pharmaceutical therapies, which have become more expensive and less available to those who need them most. This </w:t>
      </w:r>
      <w:r w:rsidR="128BCB72" w:rsidRPr="006C0CE3">
        <w:rPr>
          <w:rFonts w:asciiTheme="minorHAnsi" w:eastAsiaTheme="minorEastAsia" w:hAnsiTheme="minorHAnsi" w:cstheme="minorBidi"/>
          <w:sz w:val="22"/>
          <w:szCs w:val="22"/>
        </w:rPr>
        <w:t>a</w:t>
      </w:r>
      <w:r w:rsidRPr="006C0CE3">
        <w:rPr>
          <w:rFonts w:asciiTheme="minorHAnsi" w:eastAsiaTheme="minorEastAsia" w:hAnsiTheme="minorHAnsi" w:cstheme="minorBidi"/>
          <w:sz w:val="22"/>
          <w:szCs w:val="22"/>
        </w:rPr>
        <w:t xml:space="preserve">dministration understands the </w:t>
      </w:r>
      <w:r w:rsidR="00BF19CE" w:rsidRPr="006C0CE3">
        <w:rPr>
          <w:rFonts w:asciiTheme="minorHAnsi" w:eastAsiaTheme="minorEastAsia" w:hAnsiTheme="minorHAnsi" w:cstheme="minorBidi"/>
          <w:sz w:val="22"/>
          <w:szCs w:val="22"/>
        </w:rPr>
        <w:t>drug affordability</w:t>
      </w:r>
      <w:r w:rsidRPr="006C0CE3">
        <w:rPr>
          <w:rFonts w:asciiTheme="minorHAnsi" w:eastAsiaTheme="minorEastAsia" w:hAnsiTheme="minorHAnsi" w:cstheme="minorBidi"/>
          <w:sz w:val="22"/>
          <w:szCs w:val="22"/>
        </w:rPr>
        <w:t xml:space="preserve"> crisis facing Americans. That is why it has made reform in this area a priority. The American Society of Health-System Pharmacists (ASHP)</w:t>
      </w:r>
      <w:r w:rsidR="2BB5F479" w:rsidRPr="006C0CE3">
        <w:rPr>
          <w:rFonts w:asciiTheme="minorHAnsi" w:eastAsiaTheme="minorEastAsia" w:hAnsiTheme="minorHAnsi" w:cstheme="minorBidi"/>
          <w:sz w:val="22"/>
          <w:szCs w:val="22"/>
        </w:rPr>
        <w:t>, the</w:t>
      </w:r>
      <w:r w:rsidR="4C39E184" w:rsidRPr="006C0CE3">
        <w:rPr>
          <w:rFonts w:asciiTheme="minorHAnsi" w:eastAsiaTheme="minorEastAsia" w:hAnsiTheme="minorHAnsi" w:cstheme="minorBidi"/>
          <w:sz w:val="22"/>
          <w:szCs w:val="22"/>
        </w:rPr>
        <w:t xml:space="preserve"> Hematology/Oncology Pharmacy Association</w:t>
      </w:r>
      <w:r w:rsidR="0D4A6631" w:rsidRPr="006C0CE3">
        <w:rPr>
          <w:rFonts w:asciiTheme="minorHAnsi" w:eastAsiaTheme="minorEastAsia" w:hAnsiTheme="minorHAnsi" w:cstheme="minorBidi"/>
          <w:sz w:val="22"/>
          <w:szCs w:val="22"/>
        </w:rPr>
        <w:t xml:space="preserve"> (HOPA)</w:t>
      </w:r>
      <w:r w:rsidR="4C39E184" w:rsidRPr="006C0CE3">
        <w:rPr>
          <w:rFonts w:asciiTheme="minorHAnsi" w:eastAsiaTheme="minorEastAsia" w:hAnsiTheme="minorHAnsi" w:cstheme="minorBidi"/>
          <w:sz w:val="22"/>
          <w:szCs w:val="22"/>
        </w:rPr>
        <w:t>, the National Pharmaceutical Association</w:t>
      </w:r>
      <w:r w:rsidR="4A891C5F" w:rsidRPr="006C0CE3">
        <w:rPr>
          <w:rFonts w:asciiTheme="minorHAnsi" w:eastAsiaTheme="minorEastAsia" w:hAnsiTheme="minorHAnsi" w:cstheme="minorBidi"/>
          <w:sz w:val="22"/>
          <w:szCs w:val="22"/>
        </w:rPr>
        <w:t xml:space="preserve"> (</w:t>
      </w:r>
      <w:proofErr w:type="spellStart"/>
      <w:r w:rsidR="4A891C5F" w:rsidRPr="006C0CE3">
        <w:rPr>
          <w:rFonts w:asciiTheme="minorHAnsi" w:eastAsiaTheme="minorEastAsia" w:hAnsiTheme="minorHAnsi" w:cstheme="minorBidi"/>
          <w:sz w:val="22"/>
          <w:szCs w:val="22"/>
        </w:rPr>
        <w:t>NPhA</w:t>
      </w:r>
      <w:proofErr w:type="spellEnd"/>
      <w:r w:rsidR="4A891C5F" w:rsidRPr="006C0CE3">
        <w:rPr>
          <w:rFonts w:asciiTheme="minorHAnsi" w:eastAsiaTheme="minorEastAsia" w:hAnsiTheme="minorHAnsi" w:cstheme="minorBidi"/>
          <w:sz w:val="22"/>
          <w:szCs w:val="22"/>
        </w:rPr>
        <w:t>)</w:t>
      </w:r>
      <w:r w:rsidR="60EC8E4E" w:rsidRPr="006C0CE3">
        <w:rPr>
          <w:rFonts w:asciiTheme="minorHAnsi" w:eastAsiaTheme="minorEastAsia" w:hAnsiTheme="minorHAnsi" w:cstheme="minorBidi"/>
          <w:sz w:val="22"/>
          <w:szCs w:val="22"/>
        </w:rPr>
        <w:t>,</w:t>
      </w:r>
      <w:r w:rsidRPr="006C0CE3">
        <w:rPr>
          <w:rFonts w:asciiTheme="minorHAnsi" w:eastAsiaTheme="minorEastAsia" w:hAnsiTheme="minorHAnsi" w:cstheme="minorBidi"/>
          <w:sz w:val="22"/>
          <w:szCs w:val="22"/>
        </w:rPr>
        <w:t xml:space="preserve"> </w:t>
      </w:r>
      <w:r w:rsidR="00BB0899" w:rsidRPr="006C0CE3">
        <w:rPr>
          <w:rFonts w:asciiTheme="minorHAnsi" w:eastAsiaTheme="minorEastAsia" w:hAnsiTheme="minorHAnsi" w:cstheme="minorBidi"/>
          <w:sz w:val="22"/>
          <w:szCs w:val="22"/>
        </w:rPr>
        <w:t>and the undersigned state pharmacy associations share those goals.</w:t>
      </w:r>
    </w:p>
    <w:p w14:paraId="788913B0" w14:textId="77777777" w:rsidR="00973EBE" w:rsidRPr="006C0CE3" w:rsidRDefault="00973EBE" w:rsidP="768556BD">
      <w:pPr>
        <w:rPr>
          <w:rFonts w:asciiTheme="minorHAnsi" w:eastAsiaTheme="minorEastAsia" w:hAnsiTheme="minorHAnsi" w:cstheme="minorBidi"/>
          <w:noProof/>
          <w:sz w:val="22"/>
          <w:szCs w:val="22"/>
        </w:rPr>
      </w:pPr>
    </w:p>
    <w:p w14:paraId="02D161BD" w14:textId="192F49E7"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 xml:space="preserve">Congress and President Trump are on the same page here. The Inflation Reduction Act (IRA) empowers the Centers for Medicare &amp; Medicaid Services (CMS) to negotiate drug prices directly with manufacturers for Medicare beneficiaries and then commissions CMS to ensure that those negotiated prices serve as the </w:t>
      </w:r>
      <w:r w:rsidR="23746BAB" w:rsidRPr="006C0CE3">
        <w:rPr>
          <w:rFonts w:asciiTheme="minorHAnsi" w:eastAsiaTheme="minorEastAsia" w:hAnsiTheme="minorHAnsi" w:cstheme="minorBidi"/>
          <w:noProof/>
          <w:sz w:val="22"/>
          <w:szCs w:val="22"/>
        </w:rPr>
        <w:t>m</w:t>
      </w:r>
      <w:r w:rsidRPr="006C0CE3">
        <w:rPr>
          <w:rFonts w:asciiTheme="minorHAnsi" w:eastAsiaTheme="minorEastAsia" w:hAnsiTheme="minorHAnsi" w:cstheme="minorBidi"/>
          <w:noProof/>
          <w:sz w:val="22"/>
          <w:szCs w:val="22"/>
        </w:rPr>
        <w:t xml:space="preserve">aximum </w:t>
      </w:r>
      <w:r w:rsidR="59BEB219" w:rsidRPr="006C0CE3">
        <w:rPr>
          <w:rFonts w:asciiTheme="minorHAnsi" w:eastAsiaTheme="minorEastAsia" w:hAnsiTheme="minorHAnsi" w:cstheme="minorBidi"/>
          <w:noProof/>
          <w:sz w:val="22"/>
          <w:szCs w:val="22"/>
        </w:rPr>
        <w:t>f</w:t>
      </w:r>
      <w:r w:rsidRPr="006C0CE3">
        <w:rPr>
          <w:rFonts w:asciiTheme="minorHAnsi" w:eastAsiaTheme="minorEastAsia" w:hAnsiTheme="minorHAnsi" w:cstheme="minorBidi"/>
          <w:noProof/>
          <w:sz w:val="22"/>
          <w:szCs w:val="22"/>
        </w:rPr>
        <w:t xml:space="preserve">air </w:t>
      </w:r>
      <w:r w:rsidR="320DA689" w:rsidRPr="006C0CE3">
        <w:rPr>
          <w:rFonts w:asciiTheme="minorHAnsi" w:eastAsiaTheme="minorEastAsia" w:hAnsiTheme="minorHAnsi" w:cstheme="minorBidi"/>
          <w:noProof/>
          <w:sz w:val="22"/>
          <w:szCs w:val="22"/>
        </w:rPr>
        <w:t>p</w:t>
      </w:r>
      <w:r w:rsidRPr="006C0CE3">
        <w:rPr>
          <w:rFonts w:asciiTheme="minorHAnsi" w:eastAsiaTheme="minorEastAsia" w:hAnsiTheme="minorHAnsi" w:cstheme="minorBidi"/>
          <w:noProof/>
          <w:sz w:val="22"/>
          <w:szCs w:val="22"/>
        </w:rPr>
        <w:t xml:space="preserve">rice </w:t>
      </w:r>
      <w:r w:rsidR="4303F1B1" w:rsidRPr="006C0CE3">
        <w:rPr>
          <w:rFonts w:asciiTheme="minorHAnsi" w:eastAsiaTheme="minorEastAsia" w:hAnsiTheme="minorHAnsi" w:cstheme="minorBidi"/>
          <w:noProof/>
          <w:sz w:val="22"/>
          <w:szCs w:val="22"/>
        </w:rPr>
        <w:t xml:space="preserve">(MFP) </w:t>
      </w:r>
      <w:r w:rsidRPr="006C0CE3">
        <w:rPr>
          <w:rFonts w:asciiTheme="minorHAnsi" w:eastAsiaTheme="minorEastAsia" w:hAnsiTheme="minorHAnsi" w:cstheme="minorBidi"/>
          <w:noProof/>
          <w:sz w:val="22"/>
          <w:szCs w:val="22"/>
        </w:rPr>
        <w:t xml:space="preserve">offered to beneficiaries, pharmacies, and other providers delivering the therapies. President Trump has likewise issued an </w:t>
      </w:r>
      <w:r w:rsidR="2C22BA67" w:rsidRPr="006C0CE3">
        <w:rPr>
          <w:rFonts w:asciiTheme="minorHAnsi" w:eastAsiaTheme="minorEastAsia" w:hAnsiTheme="minorHAnsi" w:cstheme="minorBidi"/>
          <w:noProof/>
          <w:sz w:val="22"/>
          <w:szCs w:val="22"/>
        </w:rPr>
        <w:t>e</w:t>
      </w:r>
      <w:r w:rsidRPr="006C0CE3">
        <w:rPr>
          <w:rFonts w:asciiTheme="minorHAnsi" w:eastAsiaTheme="minorEastAsia" w:hAnsiTheme="minorHAnsi" w:cstheme="minorBidi"/>
          <w:noProof/>
          <w:sz w:val="22"/>
          <w:szCs w:val="22"/>
        </w:rPr>
        <w:t xml:space="preserve">xecutive </w:t>
      </w:r>
      <w:r w:rsidR="7F875961" w:rsidRPr="006C0CE3">
        <w:rPr>
          <w:rFonts w:asciiTheme="minorHAnsi" w:eastAsiaTheme="minorEastAsia" w:hAnsiTheme="minorHAnsi" w:cstheme="minorBidi"/>
          <w:noProof/>
          <w:sz w:val="22"/>
          <w:szCs w:val="22"/>
        </w:rPr>
        <w:t>o</w:t>
      </w:r>
      <w:r w:rsidRPr="006C0CE3">
        <w:rPr>
          <w:rFonts w:asciiTheme="minorHAnsi" w:eastAsiaTheme="minorEastAsia" w:hAnsiTheme="minorHAnsi" w:cstheme="minorBidi"/>
          <w:noProof/>
          <w:sz w:val="22"/>
          <w:szCs w:val="22"/>
        </w:rPr>
        <w:t>rder directing CMS to improve transparency in the IRA’s negotiation program and seek policy recommendations to “promote a more competitive, efficient, transparent, and resilient pharmaceutical value chain that delivers lower drug prices for Americans.”</w:t>
      </w:r>
      <w:r w:rsidRPr="006C0CE3">
        <w:rPr>
          <w:rFonts w:asciiTheme="minorHAnsi" w:eastAsiaTheme="minorEastAsia" w:hAnsiTheme="minorHAnsi" w:cstheme="minorBidi"/>
          <w:noProof/>
          <w:sz w:val="22"/>
          <w:szCs w:val="22"/>
          <w:vertAlign w:val="superscript"/>
        </w:rPr>
        <w:footnoteReference w:id="1"/>
      </w:r>
    </w:p>
    <w:p w14:paraId="53192F7A" w14:textId="77777777" w:rsidR="00973EBE" w:rsidRPr="006C0CE3" w:rsidRDefault="00973EBE" w:rsidP="768556BD">
      <w:pPr>
        <w:rPr>
          <w:rFonts w:asciiTheme="minorHAnsi" w:eastAsiaTheme="minorEastAsia" w:hAnsiTheme="minorHAnsi" w:cstheme="minorBidi"/>
          <w:noProof/>
          <w:sz w:val="22"/>
          <w:szCs w:val="22"/>
        </w:rPr>
      </w:pPr>
    </w:p>
    <w:p w14:paraId="6B9E0515" w14:textId="55AAD9EF" w:rsidR="00973EBE" w:rsidRPr="006C0CE3" w:rsidRDefault="00973EBE" w:rsidP="768556BD">
      <w:pPr>
        <w:rPr>
          <w:rFonts w:asciiTheme="minorHAnsi" w:eastAsiaTheme="minorEastAsia" w:hAnsiTheme="minorHAnsi" w:cstheme="minorBidi"/>
          <w:sz w:val="22"/>
          <w:szCs w:val="22"/>
        </w:rPr>
      </w:pPr>
      <w:r w:rsidRPr="006C0CE3">
        <w:rPr>
          <w:rFonts w:asciiTheme="minorHAnsi" w:eastAsiaTheme="minorEastAsia" w:hAnsiTheme="minorHAnsi" w:cstheme="minorBidi"/>
          <w:sz w:val="22"/>
          <w:szCs w:val="22"/>
        </w:rPr>
        <w:t>Unfortunately, pharmaceutical manufacturers have halted that progress. They have lobbied hard for a negotiation program that leaves manufacturers in control of honoring the</w:t>
      </w:r>
      <w:r w:rsidR="48F07FA8" w:rsidRPr="006C0CE3">
        <w:rPr>
          <w:rFonts w:asciiTheme="minorHAnsi" w:eastAsiaTheme="minorEastAsia" w:hAnsiTheme="minorHAnsi" w:cstheme="minorBidi"/>
          <w:noProof/>
          <w:sz w:val="22"/>
          <w:szCs w:val="22"/>
        </w:rPr>
        <w:t xml:space="preserve"> MFP</w:t>
      </w:r>
      <w:r w:rsidRPr="006C0CE3">
        <w:rPr>
          <w:rFonts w:asciiTheme="minorHAnsi" w:eastAsiaTheme="minorEastAsia" w:hAnsiTheme="minorHAnsi" w:cstheme="minorBidi"/>
          <w:noProof/>
          <w:sz w:val="22"/>
          <w:szCs w:val="22"/>
        </w:rPr>
        <w:t>.</w:t>
      </w:r>
      <w:r w:rsidRPr="006C0CE3">
        <w:rPr>
          <w:rFonts w:asciiTheme="minorHAnsi" w:eastAsiaTheme="minorEastAsia" w:hAnsiTheme="minorHAnsi" w:cstheme="minorBidi"/>
          <w:sz w:val="22"/>
          <w:szCs w:val="22"/>
        </w:rPr>
        <w:t xml:space="preserve"> Under the manufacturer-preferred system, </w:t>
      </w:r>
      <w:r w:rsidR="00BF19CE" w:rsidRPr="006C0CE3">
        <w:rPr>
          <w:rFonts w:asciiTheme="minorHAnsi" w:eastAsiaTheme="minorEastAsia" w:hAnsiTheme="minorHAnsi" w:cstheme="minorBidi"/>
          <w:sz w:val="22"/>
          <w:szCs w:val="22"/>
        </w:rPr>
        <w:t xml:space="preserve">drug companies </w:t>
      </w:r>
      <w:r w:rsidRPr="006C0CE3">
        <w:rPr>
          <w:rFonts w:asciiTheme="minorHAnsi" w:eastAsiaTheme="minorEastAsia" w:hAnsiTheme="minorHAnsi" w:cstheme="minorBidi"/>
          <w:sz w:val="22"/>
          <w:szCs w:val="22"/>
        </w:rPr>
        <w:t xml:space="preserve">can force pharmacies and other providers to pay far more than the </w:t>
      </w:r>
      <w:r w:rsidR="0AE14802" w:rsidRPr="006C0CE3">
        <w:rPr>
          <w:rFonts w:asciiTheme="minorHAnsi" w:eastAsiaTheme="minorEastAsia" w:hAnsiTheme="minorHAnsi" w:cstheme="minorBidi"/>
          <w:sz w:val="22"/>
          <w:szCs w:val="22"/>
        </w:rPr>
        <w:t>MFP</w:t>
      </w:r>
      <w:r w:rsidRPr="006C0CE3">
        <w:rPr>
          <w:rFonts w:asciiTheme="minorHAnsi" w:eastAsiaTheme="minorEastAsia" w:hAnsiTheme="minorHAnsi" w:cstheme="minorBidi"/>
          <w:sz w:val="22"/>
          <w:szCs w:val="22"/>
        </w:rPr>
        <w:t xml:space="preserve"> for the very drugs subject to CMS’s price negotiations. Manufacturers may later provide pharmacies with a retrospective rebate, but that puts pharmacies at the mercy of manufacturer discretion</w:t>
      </w:r>
      <w:r w:rsidR="00BF19CE" w:rsidRPr="006C0CE3">
        <w:rPr>
          <w:rFonts w:asciiTheme="minorHAnsi" w:eastAsiaTheme="minorEastAsia" w:hAnsiTheme="minorHAnsi" w:cstheme="minorBidi"/>
          <w:sz w:val="22"/>
          <w:szCs w:val="22"/>
        </w:rPr>
        <w:t xml:space="preserve"> and</w:t>
      </w:r>
      <w:r w:rsidRPr="006C0CE3">
        <w:rPr>
          <w:rFonts w:asciiTheme="minorHAnsi" w:eastAsiaTheme="minorEastAsia" w:hAnsiTheme="minorHAnsi" w:cstheme="minorBidi"/>
          <w:sz w:val="22"/>
          <w:szCs w:val="22"/>
        </w:rPr>
        <w:t xml:space="preserve"> timing</w:t>
      </w:r>
      <w:r w:rsidRPr="006C0CE3">
        <w:rPr>
          <w:rFonts w:asciiTheme="minorHAnsi" w:eastAsiaTheme="minorEastAsia" w:hAnsiTheme="minorHAnsi" w:cstheme="minorBidi"/>
          <w:noProof/>
          <w:sz w:val="22"/>
          <w:szCs w:val="22"/>
        </w:rPr>
        <w:t>.</w:t>
      </w:r>
      <w:r w:rsidRPr="006C0CE3">
        <w:rPr>
          <w:rFonts w:asciiTheme="minorHAnsi" w:eastAsiaTheme="minorEastAsia" w:hAnsiTheme="minorHAnsi" w:cstheme="minorBidi"/>
          <w:sz w:val="22"/>
          <w:szCs w:val="22"/>
        </w:rPr>
        <w:t xml:space="preserve"> This is in direct conflict with President Trump’s order to make the IRA’s drug pricing transparent. </w:t>
      </w:r>
    </w:p>
    <w:p w14:paraId="32E7C4B8" w14:textId="77777777" w:rsidR="00973EBE" w:rsidRPr="006C0CE3" w:rsidRDefault="00973EBE" w:rsidP="768556BD">
      <w:pPr>
        <w:rPr>
          <w:rFonts w:asciiTheme="minorHAnsi" w:eastAsiaTheme="minorEastAsia" w:hAnsiTheme="minorHAnsi" w:cstheme="minorBidi"/>
          <w:noProof/>
          <w:sz w:val="22"/>
          <w:szCs w:val="22"/>
        </w:rPr>
      </w:pPr>
    </w:p>
    <w:p w14:paraId="2835E899" w14:textId="69A6667C" w:rsidR="00973EBE" w:rsidRPr="006C0CE3" w:rsidRDefault="00BF19CE" w:rsidP="768556BD">
      <w:pPr>
        <w:rPr>
          <w:rFonts w:asciiTheme="minorHAnsi" w:eastAsiaTheme="minorEastAsia" w:hAnsiTheme="minorHAnsi" w:cstheme="minorBidi"/>
          <w:sz w:val="22"/>
          <w:szCs w:val="22"/>
        </w:rPr>
      </w:pPr>
      <w:r w:rsidRPr="006C0CE3">
        <w:rPr>
          <w:rFonts w:asciiTheme="minorHAnsi" w:eastAsiaTheme="minorEastAsia" w:hAnsiTheme="minorHAnsi" w:cstheme="minorBidi"/>
          <w:noProof/>
          <w:sz w:val="22"/>
          <w:szCs w:val="22"/>
        </w:rPr>
        <w:t>We</w:t>
      </w:r>
      <w:r w:rsidR="0519E1FA" w:rsidRPr="006C0CE3">
        <w:rPr>
          <w:rFonts w:asciiTheme="minorHAnsi" w:eastAsiaTheme="minorEastAsia" w:hAnsiTheme="minorHAnsi" w:cstheme="minorBidi"/>
          <w:noProof/>
          <w:sz w:val="22"/>
          <w:szCs w:val="22"/>
        </w:rPr>
        <w:t xml:space="preserve"> </w:t>
      </w:r>
      <w:r w:rsidR="00973EBE" w:rsidRPr="006C0CE3">
        <w:rPr>
          <w:rFonts w:asciiTheme="minorHAnsi" w:eastAsiaTheme="minorEastAsia" w:hAnsiTheme="minorHAnsi" w:cstheme="minorBidi"/>
          <w:noProof/>
          <w:sz w:val="22"/>
          <w:szCs w:val="22"/>
        </w:rPr>
        <w:t>submit</w:t>
      </w:r>
      <w:r w:rsidR="00973EBE" w:rsidRPr="006C0CE3">
        <w:rPr>
          <w:rFonts w:asciiTheme="minorHAnsi" w:eastAsiaTheme="minorEastAsia" w:hAnsiTheme="minorHAnsi" w:cstheme="minorBidi"/>
          <w:sz w:val="22"/>
          <w:szCs w:val="22"/>
        </w:rPr>
        <w:t xml:space="preserve"> this letter to express deep concern regarding this manufacturer-preferred system. CMS should reject that system and instead require manufacturers to apply </w:t>
      </w:r>
      <w:r w:rsidR="00973EBE" w:rsidRPr="006C0CE3">
        <w:rPr>
          <w:rFonts w:asciiTheme="minorHAnsi" w:eastAsiaTheme="minorEastAsia" w:hAnsiTheme="minorHAnsi" w:cstheme="minorBidi"/>
          <w:b/>
          <w:bCs/>
          <w:sz w:val="22"/>
          <w:szCs w:val="22"/>
        </w:rPr>
        <w:t>upfront discounts</w:t>
      </w:r>
      <w:r w:rsidR="00973EBE" w:rsidRPr="006C0CE3">
        <w:rPr>
          <w:rFonts w:asciiTheme="minorHAnsi" w:eastAsiaTheme="minorEastAsia" w:hAnsiTheme="minorHAnsi" w:cstheme="minorBidi"/>
          <w:sz w:val="22"/>
          <w:szCs w:val="22"/>
        </w:rPr>
        <w:t>—not retrospective rebates—to dispensing entities for three reasons:</w:t>
      </w:r>
    </w:p>
    <w:p w14:paraId="477FD746" w14:textId="77777777" w:rsidR="00973EBE" w:rsidRPr="006C0CE3" w:rsidRDefault="00973EBE" w:rsidP="768556BD">
      <w:pPr>
        <w:rPr>
          <w:rFonts w:asciiTheme="minorHAnsi" w:eastAsiaTheme="minorEastAsia" w:hAnsiTheme="minorHAnsi" w:cstheme="minorBidi"/>
          <w:noProof/>
          <w:sz w:val="22"/>
          <w:szCs w:val="22"/>
        </w:rPr>
      </w:pPr>
    </w:p>
    <w:p w14:paraId="3728F3B3" w14:textId="3D847D92" w:rsidR="00973EBE" w:rsidRPr="006C0CE3" w:rsidRDefault="00973EBE" w:rsidP="768556BD">
      <w:pPr>
        <w:numPr>
          <w:ilvl w:val="0"/>
          <w:numId w:val="1"/>
        </w:num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lastRenderedPageBreak/>
        <w:t xml:space="preserve">The manufacturer-preferred system of rebates is inconsistent with the text and purpose of the IRA. CMS not only has clear statutory authority to require manufacturers to honor </w:t>
      </w:r>
      <w:r w:rsidR="25320CD4" w:rsidRPr="006C0CE3">
        <w:rPr>
          <w:rFonts w:asciiTheme="minorHAnsi" w:eastAsiaTheme="minorEastAsia" w:hAnsiTheme="minorHAnsi" w:cstheme="minorBidi"/>
          <w:noProof/>
          <w:sz w:val="22"/>
          <w:szCs w:val="22"/>
        </w:rPr>
        <w:t>MFPs</w:t>
      </w:r>
      <w:r w:rsidRPr="006C0CE3">
        <w:rPr>
          <w:rFonts w:asciiTheme="minorHAnsi" w:eastAsiaTheme="minorEastAsia" w:hAnsiTheme="minorHAnsi" w:cstheme="minorBidi"/>
          <w:noProof/>
          <w:sz w:val="22"/>
          <w:szCs w:val="22"/>
        </w:rPr>
        <w:t xml:space="preserve"> with upfront discounts, but doing so is also the only way to achieve Congress’s objectives. Congress knows how to authorize CMS to use rebates. It chose not to here.</w:t>
      </w:r>
    </w:p>
    <w:p w14:paraId="3919E3C2" w14:textId="77777777" w:rsidR="00973EBE" w:rsidRPr="006C0CE3" w:rsidRDefault="00973EBE" w:rsidP="768556BD">
      <w:pPr>
        <w:rPr>
          <w:rFonts w:asciiTheme="minorHAnsi" w:eastAsiaTheme="minorEastAsia" w:hAnsiTheme="minorHAnsi" w:cstheme="minorBidi"/>
          <w:noProof/>
          <w:sz w:val="22"/>
          <w:szCs w:val="22"/>
        </w:rPr>
      </w:pPr>
    </w:p>
    <w:p w14:paraId="31435920" w14:textId="0C2B8CD5" w:rsidR="00973EBE" w:rsidRPr="006C0CE3" w:rsidRDefault="00973EBE" w:rsidP="768556BD">
      <w:pPr>
        <w:numPr>
          <w:ilvl w:val="0"/>
          <w:numId w:val="1"/>
        </w:numPr>
        <w:rPr>
          <w:rFonts w:asciiTheme="minorHAnsi" w:eastAsiaTheme="minorEastAsia" w:hAnsiTheme="minorHAnsi" w:cstheme="minorBidi"/>
          <w:sz w:val="22"/>
          <w:szCs w:val="22"/>
        </w:rPr>
      </w:pPr>
      <w:r w:rsidRPr="006C0CE3">
        <w:rPr>
          <w:rFonts w:asciiTheme="minorHAnsi" w:eastAsiaTheme="minorEastAsia" w:hAnsiTheme="minorHAnsi" w:cstheme="minorBidi"/>
          <w:sz w:val="22"/>
          <w:szCs w:val="22"/>
        </w:rPr>
        <w:t xml:space="preserve">The manufacturer-preferred system of rebates is also inconsistent with the </w:t>
      </w:r>
      <w:r w:rsidR="3F71E738" w:rsidRPr="006C0CE3">
        <w:rPr>
          <w:rFonts w:asciiTheme="minorHAnsi" w:eastAsiaTheme="minorEastAsia" w:hAnsiTheme="minorHAnsi" w:cstheme="minorBidi"/>
          <w:sz w:val="22"/>
          <w:szCs w:val="22"/>
        </w:rPr>
        <w:t>a</w:t>
      </w:r>
      <w:r w:rsidRPr="006C0CE3">
        <w:rPr>
          <w:rFonts w:asciiTheme="minorHAnsi" w:eastAsiaTheme="minorEastAsia" w:hAnsiTheme="minorHAnsi" w:cstheme="minorBidi"/>
          <w:sz w:val="22"/>
          <w:szCs w:val="22"/>
        </w:rPr>
        <w:t>dministration’s commitments to regulatory simplification, administrative efficiency, and pharmaceutical price transparency. Individual manufacturer rebate plans are administratively cumbersome for both CMS and providers and introduce avoidable variability in the accurate reconciliation of drug prices.</w:t>
      </w:r>
    </w:p>
    <w:p w14:paraId="7FBEFDAF" w14:textId="77777777" w:rsidR="00973EBE" w:rsidRPr="006C0CE3" w:rsidRDefault="00973EBE" w:rsidP="768556BD">
      <w:pPr>
        <w:rPr>
          <w:rFonts w:asciiTheme="minorHAnsi" w:eastAsiaTheme="minorEastAsia" w:hAnsiTheme="minorHAnsi" w:cstheme="minorBidi"/>
          <w:noProof/>
          <w:sz w:val="22"/>
          <w:szCs w:val="22"/>
        </w:rPr>
      </w:pPr>
    </w:p>
    <w:p w14:paraId="5D171357" w14:textId="77777777" w:rsidR="00973EBE" w:rsidRPr="006C0CE3" w:rsidRDefault="00973EBE" w:rsidP="768556BD">
      <w:pPr>
        <w:numPr>
          <w:ilvl w:val="0"/>
          <w:numId w:val="1"/>
        </w:num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 xml:space="preserve">Finally, the manufacturer-preferred system of rebates is inconsistent with a sustainable healthcare delivery system. It directly threatens the viability of the very providers on whom the success of the IRA’s negotiation program depends. Allowing manufacturers to charge pharmacies prices far above those set by CMS misallocates the statutory responsibility and shifts the cost burden away from the entities on whom Congress placed it. </w:t>
      </w:r>
    </w:p>
    <w:p w14:paraId="5776FFA0" w14:textId="77777777" w:rsidR="00973EBE" w:rsidRPr="006C0CE3" w:rsidRDefault="00973EBE" w:rsidP="768556BD">
      <w:pPr>
        <w:rPr>
          <w:rFonts w:asciiTheme="minorHAnsi" w:eastAsiaTheme="minorEastAsia" w:hAnsiTheme="minorHAnsi" w:cstheme="minorBidi"/>
          <w:noProof/>
          <w:sz w:val="22"/>
          <w:szCs w:val="22"/>
        </w:rPr>
      </w:pPr>
    </w:p>
    <w:p w14:paraId="594DD8AE" w14:textId="66020D1F"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 xml:space="preserve">As explained in more detail below, the consequences of the manufacturer-preferred system of rebates are profound and inconsistent with both the </w:t>
      </w:r>
      <w:r w:rsidR="641F9CBA" w:rsidRPr="006C0CE3">
        <w:rPr>
          <w:rFonts w:asciiTheme="minorHAnsi" w:eastAsiaTheme="minorEastAsia" w:hAnsiTheme="minorHAnsi" w:cstheme="minorBidi"/>
          <w:noProof/>
          <w:sz w:val="22"/>
          <w:szCs w:val="22"/>
        </w:rPr>
        <w:t>a</w:t>
      </w:r>
      <w:r w:rsidRPr="006C0CE3">
        <w:rPr>
          <w:rFonts w:asciiTheme="minorHAnsi" w:eastAsiaTheme="minorEastAsia" w:hAnsiTheme="minorHAnsi" w:cstheme="minorBidi"/>
          <w:noProof/>
          <w:sz w:val="22"/>
          <w:szCs w:val="22"/>
        </w:rPr>
        <w:t>dministration’s and Congress’</w:t>
      </w:r>
      <w:r w:rsidR="3E63A4C7" w:rsidRPr="006C0CE3">
        <w:rPr>
          <w:rFonts w:asciiTheme="minorHAnsi" w:eastAsiaTheme="minorEastAsia" w:hAnsiTheme="minorHAnsi" w:cstheme="minorBidi"/>
          <w:noProof/>
          <w:sz w:val="22"/>
          <w:szCs w:val="22"/>
        </w:rPr>
        <w:t>s</w:t>
      </w:r>
      <w:r w:rsidRPr="006C0CE3">
        <w:rPr>
          <w:rFonts w:asciiTheme="minorHAnsi" w:eastAsiaTheme="minorEastAsia" w:hAnsiTheme="minorHAnsi" w:cstheme="minorBidi"/>
          <w:noProof/>
          <w:sz w:val="22"/>
          <w:szCs w:val="22"/>
        </w:rPr>
        <w:t xml:space="preserve"> goals. Congress has empowered CMS to implement a standardized, upfront discount model, and CMS should exercise that authority to realign the program with the IRA’s text and purpose. Doing so will harmonize CMS policy with the </w:t>
      </w:r>
      <w:r w:rsidR="6AFAB988" w:rsidRPr="006C0CE3">
        <w:rPr>
          <w:rFonts w:asciiTheme="minorHAnsi" w:eastAsiaTheme="minorEastAsia" w:hAnsiTheme="minorHAnsi" w:cstheme="minorBidi"/>
          <w:noProof/>
          <w:sz w:val="22"/>
          <w:szCs w:val="22"/>
        </w:rPr>
        <w:t>a</w:t>
      </w:r>
      <w:r w:rsidRPr="006C0CE3">
        <w:rPr>
          <w:rFonts w:asciiTheme="minorHAnsi" w:eastAsiaTheme="minorEastAsia" w:hAnsiTheme="minorHAnsi" w:cstheme="minorBidi"/>
          <w:noProof/>
          <w:sz w:val="22"/>
          <w:szCs w:val="22"/>
        </w:rPr>
        <w:t>dministration’s deregulatory and drug-pricing transparency priorities. Most importantly, it will safeguard beneficiary access to discounted therapies.</w:t>
      </w:r>
    </w:p>
    <w:p w14:paraId="1A7E7084" w14:textId="77777777" w:rsidR="00973EBE" w:rsidRPr="006C0CE3" w:rsidRDefault="00973EBE" w:rsidP="768556BD">
      <w:pPr>
        <w:rPr>
          <w:rFonts w:asciiTheme="minorHAnsi" w:eastAsiaTheme="minorEastAsia" w:hAnsiTheme="minorHAnsi" w:cstheme="minorBidi"/>
          <w:noProof/>
          <w:sz w:val="22"/>
          <w:szCs w:val="22"/>
        </w:rPr>
      </w:pPr>
    </w:p>
    <w:p w14:paraId="7FAF419B" w14:textId="0BDAAE18" w:rsidR="00973EBE" w:rsidRPr="006C0CE3" w:rsidRDefault="00973EBE" w:rsidP="00D34E48">
      <w:pPr>
        <w:pStyle w:val="ListParagraph"/>
        <w:numPr>
          <w:ilvl w:val="0"/>
          <w:numId w:val="5"/>
        </w:numPr>
        <w:ind w:left="432" w:hanging="432"/>
        <w:rPr>
          <w:rFonts w:asciiTheme="minorHAnsi" w:eastAsiaTheme="minorEastAsia" w:hAnsiTheme="minorHAnsi" w:cstheme="minorBidi"/>
          <w:b/>
          <w:bCs/>
          <w:noProof/>
          <w:sz w:val="22"/>
          <w:szCs w:val="22"/>
        </w:rPr>
      </w:pPr>
      <w:r w:rsidRPr="006C0CE3">
        <w:rPr>
          <w:rFonts w:asciiTheme="minorHAnsi" w:eastAsiaTheme="minorEastAsia" w:hAnsiTheme="minorHAnsi" w:cstheme="minorBidi"/>
          <w:b/>
          <w:bCs/>
          <w:noProof/>
          <w:sz w:val="22"/>
          <w:szCs w:val="22"/>
        </w:rPr>
        <w:t xml:space="preserve">The IRA </w:t>
      </w:r>
      <w:r w:rsidR="1F09A34F" w:rsidRPr="006C0CE3">
        <w:rPr>
          <w:rFonts w:asciiTheme="minorHAnsi" w:eastAsiaTheme="minorEastAsia" w:hAnsiTheme="minorHAnsi" w:cstheme="minorBidi"/>
          <w:b/>
          <w:bCs/>
          <w:noProof/>
          <w:sz w:val="22"/>
          <w:szCs w:val="22"/>
        </w:rPr>
        <w:t>N</w:t>
      </w:r>
      <w:r w:rsidRPr="006C0CE3">
        <w:rPr>
          <w:rFonts w:asciiTheme="minorHAnsi" w:eastAsiaTheme="minorEastAsia" w:hAnsiTheme="minorHAnsi" w:cstheme="minorBidi"/>
          <w:b/>
          <w:bCs/>
          <w:noProof/>
          <w:sz w:val="22"/>
          <w:szCs w:val="22"/>
        </w:rPr>
        <w:t>either Requires nor Allows Manufacturers to Saddle Pharmacies with the Cost Burden of the IRA’s Drug Price Negotiation Program</w:t>
      </w:r>
    </w:p>
    <w:p w14:paraId="346EB9CB" w14:textId="77777777" w:rsidR="00973EBE" w:rsidRPr="006C0CE3" w:rsidRDefault="00973EBE" w:rsidP="768556BD">
      <w:pPr>
        <w:ind w:left="360"/>
        <w:rPr>
          <w:rFonts w:asciiTheme="minorHAnsi" w:eastAsiaTheme="minorEastAsia" w:hAnsiTheme="minorHAnsi" w:cstheme="minorBidi"/>
          <w:b/>
          <w:bCs/>
          <w:noProof/>
          <w:sz w:val="22"/>
          <w:szCs w:val="22"/>
        </w:rPr>
      </w:pPr>
    </w:p>
    <w:p w14:paraId="0174C65B" w14:textId="17F01B53" w:rsidR="00973EBE" w:rsidRPr="006C0CE3" w:rsidRDefault="00973EBE" w:rsidP="768556BD">
      <w:pPr>
        <w:numPr>
          <w:ilvl w:val="0"/>
          <w:numId w:val="2"/>
        </w:numPr>
        <w:rPr>
          <w:rFonts w:asciiTheme="minorHAnsi" w:eastAsiaTheme="minorEastAsia" w:hAnsiTheme="minorHAnsi" w:cstheme="minorBidi"/>
          <w:b/>
          <w:bCs/>
          <w:noProof/>
          <w:sz w:val="22"/>
          <w:szCs w:val="22"/>
        </w:rPr>
      </w:pPr>
      <w:r w:rsidRPr="006C0CE3">
        <w:rPr>
          <w:rFonts w:asciiTheme="minorHAnsi" w:eastAsiaTheme="minorEastAsia" w:hAnsiTheme="minorHAnsi" w:cstheme="minorBidi"/>
          <w:b/>
          <w:bCs/>
          <w:noProof/>
          <w:sz w:val="22"/>
          <w:szCs w:val="22"/>
        </w:rPr>
        <w:t xml:space="preserve">Manufacturers are Solely Responsible for Effectuating </w:t>
      </w:r>
      <w:r w:rsidR="144F6738" w:rsidRPr="006C0CE3">
        <w:rPr>
          <w:rFonts w:asciiTheme="minorHAnsi" w:eastAsiaTheme="minorEastAsia" w:hAnsiTheme="minorHAnsi" w:cstheme="minorBidi"/>
          <w:b/>
          <w:bCs/>
          <w:noProof/>
          <w:sz w:val="22"/>
          <w:szCs w:val="22"/>
        </w:rPr>
        <w:t>MFP</w:t>
      </w:r>
    </w:p>
    <w:p w14:paraId="684AB73B" w14:textId="77777777" w:rsidR="00973EBE" w:rsidRPr="006C0CE3" w:rsidRDefault="00973EBE" w:rsidP="768556BD">
      <w:pPr>
        <w:ind w:left="720"/>
        <w:rPr>
          <w:rFonts w:asciiTheme="minorHAnsi" w:eastAsiaTheme="minorEastAsia" w:hAnsiTheme="minorHAnsi" w:cstheme="minorBidi"/>
          <w:b/>
          <w:bCs/>
          <w:noProof/>
          <w:sz w:val="22"/>
          <w:szCs w:val="22"/>
        </w:rPr>
      </w:pPr>
    </w:p>
    <w:p w14:paraId="77EA4C06" w14:textId="19CC5913" w:rsidR="00973EBE" w:rsidRPr="006C0CE3" w:rsidRDefault="00973EBE" w:rsidP="768556BD">
      <w:pPr>
        <w:rPr>
          <w:rFonts w:asciiTheme="minorHAnsi" w:eastAsiaTheme="minorEastAsia" w:hAnsiTheme="minorHAnsi" w:cstheme="minorBidi"/>
          <w:sz w:val="22"/>
          <w:szCs w:val="22"/>
        </w:rPr>
      </w:pPr>
      <w:r w:rsidRPr="006C0CE3">
        <w:rPr>
          <w:rFonts w:asciiTheme="minorHAnsi" w:eastAsiaTheme="minorEastAsia" w:hAnsiTheme="minorHAnsi" w:cstheme="minorBidi"/>
          <w:sz w:val="22"/>
          <w:szCs w:val="22"/>
        </w:rPr>
        <w:t xml:space="preserve">Section 1191(a) of the Social Security Act directs the Secretary to establish a drug price negotiation program and to enter into agreements with manufacturers of selected drugs under the program. The agreements set </w:t>
      </w:r>
      <w:r w:rsidR="54113C83" w:rsidRPr="006C0CE3">
        <w:rPr>
          <w:rFonts w:asciiTheme="minorHAnsi" w:eastAsiaTheme="minorEastAsia" w:hAnsiTheme="minorHAnsi" w:cstheme="minorBidi"/>
          <w:noProof/>
          <w:sz w:val="22"/>
          <w:szCs w:val="22"/>
        </w:rPr>
        <w:t>the MFP</w:t>
      </w:r>
      <w:r w:rsidRPr="006C0CE3">
        <w:rPr>
          <w:rFonts w:asciiTheme="minorHAnsi" w:eastAsiaTheme="minorEastAsia" w:hAnsiTheme="minorHAnsi" w:cstheme="minorBidi"/>
          <w:sz w:val="22"/>
          <w:szCs w:val="22"/>
        </w:rPr>
        <w:t xml:space="preserve"> that manufacturers may charge Medicare beneficiaries and dispensers for the negotiated drugs. The IRA leaves no doubt about who is responsible for honoring, and who will benefit from, the </w:t>
      </w:r>
      <w:r w:rsidR="354F8304" w:rsidRPr="006C0CE3">
        <w:rPr>
          <w:rFonts w:asciiTheme="minorHAnsi" w:eastAsiaTheme="minorEastAsia" w:hAnsiTheme="minorHAnsi" w:cstheme="minorBidi"/>
          <w:sz w:val="22"/>
          <w:szCs w:val="22"/>
        </w:rPr>
        <w:t>MFPs</w:t>
      </w:r>
      <w:r w:rsidR="5D89328A" w:rsidRPr="006C0CE3">
        <w:rPr>
          <w:rFonts w:asciiTheme="minorHAnsi" w:eastAsiaTheme="minorEastAsia" w:hAnsiTheme="minorHAnsi" w:cstheme="minorBidi"/>
          <w:sz w:val="22"/>
          <w:szCs w:val="22"/>
        </w:rPr>
        <w:t>:</w:t>
      </w:r>
      <w:r w:rsidRPr="006C0CE3">
        <w:rPr>
          <w:rFonts w:asciiTheme="minorHAnsi" w:eastAsiaTheme="minorEastAsia" w:hAnsiTheme="minorHAnsi" w:cstheme="minorBidi"/>
          <w:sz w:val="22"/>
          <w:szCs w:val="22"/>
        </w:rPr>
        <w:t xml:space="preserve"> it is </w:t>
      </w:r>
      <w:r w:rsidRPr="006C0CE3">
        <w:rPr>
          <w:rFonts w:asciiTheme="minorHAnsi" w:eastAsiaTheme="minorEastAsia" w:hAnsiTheme="minorHAnsi" w:cstheme="minorBidi"/>
          <w:b/>
          <w:bCs/>
          <w:i/>
          <w:iCs/>
          <w:sz w:val="22"/>
          <w:szCs w:val="22"/>
        </w:rPr>
        <w:t>manufacturers</w:t>
      </w:r>
      <w:r w:rsidRPr="006C0CE3">
        <w:rPr>
          <w:rFonts w:asciiTheme="minorHAnsi" w:eastAsiaTheme="minorEastAsia" w:hAnsiTheme="minorHAnsi" w:cstheme="minorBidi"/>
          <w:sz w:val="22"/>
          <w:szCs w:val="22"/>
        </w:rPr>
        <w:t xml:space="preserve"> who must “provide access” to the prices both to “dispensing entities” and to Medicare beneficiaries “before . . . any other discount.” The IRA nowhere suggests that CMS can shift that obligation to dispensing entities, nor does it provide any basis for allowing manufacturers to require that dispensing entities bear the initial cost burden of the pricing discounts. Quite the opposite. The IRA </w:t>
      </w:r>
      <w:r w:rsidRPr="006C0CE3">
        <w:rPr>
          <w:rFonts w:asciiTheme="minorHAnsi" w:eastAsiaTheme="minorEastAsia" w:hAnsiTheme="minorHAnsi" w:cstheme="minorBidi"/>
          <w:b/>
          <w:bCs/>
          <w:i/>
          <w:iCs/>
          <w:sz w:val="22"/>
          <w:szCs w:val="22"/>
        </w:rPr>
        <w:t xml:space="preserve">entitles </w:t>
      </w:r>
      <w:r w:rsidRPr="006C0CE3">
        <w:rPr>
          <w:rFonts w:asciiTheme="minorHAnsi" w:eastAsiaTheme="minorEastAsia" w:hAnsiTheme="minorHAnsi" w:cstheme="minorBidi"/>
          <w:sz w:val="22"/>
          <w:szCs w:val="22"/>
        </w:rPr>
        <w:t xml:space="preserve">dispensing entities to those pricing discounts—it doesn’t make them cash lenders to manufacturers. </w:t>
      </w:r>
    </w:p>
    <w:p w14:paraId="4911F640" w14:textId="77777777" w:rsidR="00973EBE" w:rsidRPr="006C0CE3" w:rsidRDefault="00973EBE" w:rsidP="768556BD">
      <w:pPr>
        <w:rPr>
          <w:rFonts w:asciiTheme="minorHAnsi" w:eastAsiaTheme="minorEastAsia" w:hAnsiTheme="minorHAnsi" w:cstheme="minorBidi"/>
          <w:noProof/>
          <w:sz w:val="22"/>
          <w:szCs w:val="22"/>
        </w:rPr>
      </w:pPr>
    </w:p>
    <w:p w14:paraId="72738082" w14:textId="77777777" w:rsidR="00973EBE" w:rsidRPr="006C0CE3" w:rsidRDefault="00973EBE" w:rsidP="768556BD">
      <w:pPr>
        <w:numPr>
          <w:ilvl w:val="0"/>
          <w:numId w:val="2"/>
        </w:numPr>
        <w:rPr>
          <w:rFonts w:asciiTheme="minorHAnsi" w:eastAsiaTheme="minorEastAsia" w:hAnsiTheme="minorHAnsi" w:cstheme="minorBidi"/>
          <w:b/>
          <w:bCs/>
          <w:noProof/>
          <w:sz w:val="22"/>
          <w:szCs w:val="22"/>
        </w:rPr>
      </w:pPr>
      <w:r w:rsidRPr="006C0CE3">
        <w:rPr>
          <w:rFonts w:asciiTheme="minorHAnsi" w:eastAsiaTheme="minorEastAsia" w:hAnsiTheme="minorHAnsi" w:cstheme="minorBidi"/>
          <w:b/>
          <w:bCs/>
          <w:noProof/>
          <w:sz w:val="22"/>
          <w:szCs w:val="22"/>
        </w:rPr>
        <w:t>Rebates Are Inconsistent with Congressional Intent</w:t>
      </w:r>
    </w:p>
    <w:p w14:paraId="7495816D" w14:textId="77777777" w:rsidR="00973EBE" w:rsidRPr="006C0CE3" w:rsidRDefault="00973EBE" w:rsidP="768556BD">
      <w:pPr>
        <w:ind w:left="720"/>
        <w:rPr>
          <w:rFonts w:asciiTheme="minorHAnsi" w:eastAsiaTheme="minorEastAsia" w:hAnsiTheme="minorHAnsi" w:cstheme="minorBidi"/>
          <w:b/>
          <w:bCs/>
          <w:noProof/>
          <w:sz w:val="22"/>
          <w:szCs w:val="22"/>
        </w:rPr>
      </w:pPr>
    </w:p>
    <w:p w14:paraId="5415EA0B" w14:textId="1AEC3248"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 xml:space="preserve">The manufacturers want to flip the IRA’s policy objectives on their head by forcing pharmacies to pay inflated prices first and hope for rebates later. </w:t>
      </w:r>
      <w:r w:rsidR="07F48EAE" w:rsidRPr="006C0CE3">
        <w:rPr>
          <w:rFonts w:asciiTheme="minorHAnsi" w:eastAsiaTheme="minorEastAsia" w:hAnsiTheme="minorHAnsi" w:cstheme="minorBidi"/>
          <w:noProof/>
          <w:sz w:val="22"/>
          <w:szCs w:val="22"/>
        </w:rPr>
        <w:t>However,</w:t>
      </w:r>
      <w:r w:rsidRPr="006C0CE3">
        <w:rPr>
          <w:rFonts w:asciiTheme="minorHAnsi" w:eastAsiaTheme="minorEastAsia" w:hAnsiTheme="minorHAnsi" w:cstheme="minorBidi"/>
          <w:noProof/>
          <w:sz w:val="22"/>
          <w:szCs w:val="22"/>
        </w:rPr>
        <w:t xml:space="preserve"> two of Congress’s principal goals were to inject price certainty and price transparency for the negotiated drugs. Rebates flunk both of those goals. And we know Congress did </w:t>
      </w:r>
      <w:r w:rsidRPr="006C0CE3">
        <w:rPr>
          <w:rFonts w:asciiTheme="minorHAnsi" w:eastAsiaTheme="minorEastAsia" w:hAnsiTheme="minorHAnsi" w:cstheme="minorBidi"/>
          <w:b/>
          <w:bCs/>
          <w:i/>
          <w:iCs/>
          <w:noProof/>
          <w:sz w:val="22"/>
          <w:szCs w:val="22"/>
        </w:rPr>
        <w:t>not</w:t>
      </w:r>
      <w:r w:rsidRPr="006C0CE3">
        <w:rPr>
          <w:rFonts w:asciiTheme="minorHAnsi" w:eastAsiaTheme="minorEastAsia" w:hAnsiTheme="minorHAnsi" w:cstheme="minorBidi"/>
          <w:noProof/>
          <w:sz w:val="22"/>
          <w:szCs w:val="22"/>
        </w:rPr>
        <w:t xml:space="preserve"> want rebates because it </w:t>
      </w:r>
      <w:r w:rsidRPr="006C0CE3">
        <w:rPr>
          <w:rFonts w:asciiTheme="minorHAnsi" w:eastAsiaTheme="minorEastAsia" w:hAnsiTheme="minorHAnsi" w:cstheme="minorBidi"/>
          <w:b/>
          <w:bCs/>
          <w:i/>
          <w:iCs/>
          <w:noProof/>
          <w:sz w:val="22"/>
          <w:szCs w:val="22"/>
        </w:rPr>
        <w:t xml:space="preserve">knows </w:t>
      </w:r>
      <w:r w:rsidRPr="006C0CE3">
        <w:rPr>
          <w:rFonts w:asciiTheme="minorHAnsi" w:eastAsiaTheme="minorEastAsia" w:hAnsiTheme="minorHAnsi" w:cstheme="minorBidi"/>
          <w:noProof/>
          <w:sz w:val="22"/>
          <w:szCs w:val="22"/>
        </w:rPr>
        <w:t xml:space="preserve">very well how to authorize CMS to use </w:t>
      </w:r>
      <w:r w:rsidRPr="006C0CE3">
        <w:rPr>
          <w:rFonts w:asciiTheme="minorHAnsi" w:eastAsiaTheme="minorEastAsia" w:hAnsiTheme="minorHAnsi" w:cstheme="minorBidi"/>
          <w:noProof/>
          <w:sz w:val="22"/>
          <w:szCs w:val="22"/>
        </w:rPr>
        <w:lastRenderedPageBreak/>
        <w:t xml:space="preserve">rebates. The 340B Drug Pricing Program expressly tells CMS that the amount required to be paid may “take into account any rebate or discount.” The IRA contains no such language suggesting manufacturers may use rebates to honor a drug’s </w:t>
      </w:r>
      <w:r w:rsidR="6BA86705" w:rsidRPr="006C0CE3">
        <w:rPr>
          <w:rFonts w:asciiTheme="minorHAnsi" w:eastAsiaTheme="minorEastAsia" w:hAnsiTheme="minorHAnsi" w:cstheme="minorBidi"/>
          <w:noProof/>
          <w:sz w:val="22"/>
          <w:szCs w:val="22"/>
        </w:rPr>
        <w:t>MFP</w:t>
      </w:r>
      <w:r w:rsidRPr="006C0CE3">
        <w:rPr>
          <w:rFonts w:asciiTheme="minorHAnsi" w:eastAsiaTheme="minorEastAsia" w:hAnsiTheme="minorHAnsi" w:cstheme="minorBidi"/>
          <w:noProof/>
          <w:sz w:val="22"/>
          <w:szCs w:val="22"/>
        </w:rPr>
        <w:t>.</w:t>
      </w:r>
    </w:p>
    <w:p w14:paraId="785890E9" w14:textId="77777777" w:rsidR="00973EBE" w:rsidRPr="006C0CE3" w:rsidRDefault="00973EBE" w:rsidP="768556BD">
      <w:pPr>
        <w:rPr>
          <w:rFonts w:asciiTheme="minorHAnsi" w:eastAsiaTheme="minorEastAsia" w:hAnsiTheme="minorHAnsi" w:cstheme="minorBidi"/>
          <w:noProof/>
          <w:sz w:val="22"/>
          <w:szCs w:val="22"/>
        </w:rPr>
      </w:pPr>
    </w:p>
    <w:p w14:paraId="67C09AB6" w14:textId="77777777" w:rsidR="00973EBE" w:rsidRPr="006C0CE3" w:rsidRDefault="00973EBE" w:rsidP="768556BD">
      <w:pPr>
        <w:numPr>
          <w:ilvl w:val="0"/>
          <w:numId w:val="2"/>
        </w:numPr>
        <w:rPr>
          <w:rFonts w:asciiTheme="minorHAnsi" w:eastAsiaTheme="minorEastAsia" w:hAnsiTheme="minorHAnsi" w:cstheme="minorBidi"/>
          <w:b/>
          <w:bCs/>
          <w:noProof/>
          <w:sz w:val="22"/>
          <w:szCs w:val="22"/>
        </w:rPr>
      </w:pPr>
      <w:r w:rsidRPr="006C0CE3">
        <w:rPr>
          <w:rFonts w:asciiTheme="minorHAnsi" w:eastAsiaTheme="minorEastAsia" w:hAnsiTheme="minorHAnsi" w:cstheme="minorBidi"/>
          <w:b/>
          <w:bCs/>
          <w:noProof/>
          <w:sz w:val="22"/>
          <w:szCs w:val="22"/>
        </w:rPr>
        <w:t>CMS Has a Clear Model for Upfront Discounts in the 340B Program</w:t>
      </w:r>
    </w:p>
    <w:p w14:paraId="642836D2" w14:textId="77777777" w:rsidR="00973EBE" w:rsidRPr="006C0CE3" w:rsidRDefault="00973EBE" w:rsidP="768556BD">
      <w:pPr>
        <w:ind w:left="720"/>
        <w:rPr>
          <w:rFonts w:asciiTheme="minorHAnsi" w:eastAsiaTheme="minorEastAsia" w:hAnsiTheme="minorHAnsi" w:cstheme="minorBidi"/>
          <w:b/>
          <w:bCs/>
          <w:noProof/>
          <w:sz w:val="22"/>
          <w:szCs w:val="22"/>
        </w:rPr>
      </w:pPr>
    </w:p>
    <w:p w14:paraId="62FC157A" w14:textId="77777777"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 xml:space="preserve">To be sure, Congress left the details of the IRA’s drug price negotiation program to CMS, which has discretion (within limits) to establish procedures to ensure compliance with the statute’s requirements. Here, CMS does not need to reinvent the wheel. Instead, it should look to the 340B Drug Pricing Program’s use of </w:t>
      </w:r>
      <w:r w:rsidRPr="006C0CE3">
        <w:rPr>
          <w:rFonts w:asciiTheme="minorHAnsi" w:eastAsiaTheme="minorEastAsia" w:hAnsiTheme="minorHAnsi" w:cstheme="minorBidi"/>
          <w:b/>
          <w:bCs/>
          <w:noProof/>
          <w:sz w:val="22"/>
          <w:szCs w:val="22"/>
        </w:rPr>
        <w:t>upfront discounts</w:t>
      </w:r>
      <w:r w:rsidRPr="006C0CE3">
        <w:rPr>
          <w:rFonts w:asciiTheme="minorHAnsi" w:eastAsiaTheme="minorEastAsia" w:hAnsiTheme="minorHAnsi" w:cstheme="minorBidi"/>
          <w:noProof/>
          <w:sz w:val="22"/>
          <w:szCs w:val="22"/>
        </w:rPr>
        <w:t xml:space="preserve"> as the model. The 340B statute has been interpreted under long-standing guidance to require prospective discounts to covered entities. Methods of providing upfront discounts under 340B are well established and dispensing entities have a long history of successfully managing separate 340B inventories and utilizing replenishment models for 340B drugs. </w:t>
      </w:r>
    </w:p>
    <w:p w14:paraId="2FD2C51B" w14:textId="77777777" w:rsidR="00973EBE" w:rsidRPr="006C0CE3" w:rsidRDefault="00973EBE" w:rsidP="768556BD">
      <w:pPr>
        <w:rPr>
          <w:rFonts w:asciiTheme="minorHAnsi" w:eastAsiaTheme="minorEastAsia" w:hAnsiTheme="minorHAnsi" w:cstheme="minorBidi"/>
          <w:noProof/>
          <w:sz w:val="22"/>
          <w:szCs w:val="22"/>
        </w:rPr>
      </w:pPr>
    </w:p>
    <w:p w14:paraId="7BD0CF98" w14:textId="05E11343" w:rsidR="00973EBE" w:rsidRPr="006C0CE3" w:rsidRDefault="00973EBE" w:rsidP="768556BD">
      <w:pPr>
        <w:rPr>
          <w:rFonts w:asciiTheme="minorHAnsi" w:eastAsiaTheme="minorEastAsia" w:hAnsiTheme="minorHAnsi" w:cstheme="minorBidi"/>
          <w:sz w:val="22"/>
          <w:szCs w:val="22"/>
        </w:rPr>
      </w:pPr>
      <w:r w:rsidRPr="006C0CE3">
        <w:rPr>
          <w:rFonts w:asciiTheme="minorHAnsi" w:eastAsiaTheme="minorEastAsia" w:hAnsiTheme="minorHAnsi" w:cstheme="minorBidi"/>
          <w:sz w:val="22"/>
          <w:szCs w:val="22"/>
        </w:rPr>
        <w:t xml:space="preserve">Aligning the IRA’s drug price negotiation program with the </w:t>
      </w:r>
      <w:r w:rsidR="00170971" w:rsidRPr="006C0CE3">
        <w:rPr>
          <w:rFonts w:asciiTheme="minorHAnsi" w:eastAsiaTheme="minorEastAsia" w:hAnsiTheme="minorHAnsi" w:cstheme="minorBidi"/>
          <w:sz w:val="22"/>
          <w:szCs w:val="22"/>
        </w:rPr>
        <w:t xml:space="preserve">established, prospective discount model of the </w:t>
      </w:r>
      <w:r w:rsidRPr="006C0CE3">
        <w:rPr>
          <w:rFonts w:asciiTheme="minorHAnsi" w:eastAsiaTheme="minorEastAsia" w:hAnsiTheme="minorHAnsi" w:cstheme="minorBidi"/>
          <w:sz w:val="22"/>
          <w:szCs w:val="22"/>
        </w:rPr>
        <w:t xml:space="preserve">340B program ensures uniformity, predictability, and efficiency—all things the </w:t>
      </w:r>
      <w:r w:rsidR="5082346E" w:rsidRPr="006C0CE3">
        <w:rPr>
          <w:rFonts w:asciiTheme="minorHAnsi" w:eastAsiaTheme="minorEastAsia" w:hAnsiTheme="minorHAnsi" w:cstheme="minorBidi"/>
          <w:sz w:val="22"/>
          <w:szCs w:val="22"/>
        </w:rPr>
        <w:t>a</w:t>
      </w:r>
      <w:r w:rsidRPr="006C0CE3">
        <w:rPr>
          <w:rFonts w:asciiTheme="minorHAnsi" w:eastAsiaTheme="minorEastAsia" w:hAnsiTheme="minorHAnsi" w:cstheme="minorBidi"/>
          <w:sz w:val="22"/>
          <w:szCs w:val="22"/>
        </w:rPr>
        <w:t xml:space="preserve">dministration has worked hard to infuse in government. Manufacturers are already trying to exploit the current misalignment to inject rebates into the 340B program. That regressive step is most effectively rebuffed by establishing a </w:t>
      </w:r>
      <w:r w:rsidRPr="006C0CE3">
        <w:rPr>
          <w:rFonts w:asciiTheme="minorHAnsi" w:eastAsiaTheme="minorEastAsia" w:hAnsiTheme="minorHAnsi" w:cstheme="minorBidi"/>
          <w:b/>
          <w:bCs/>
          <w:sz w:val="22"/>
          <w:szCs w:val="22"/>
        </w:rPr>
        <w:t>uniform, prospective discount requirement</w:t>
      </w:r>
      <w:r w:rsidRPr="006C0CE3">
        <w:rPr>
          <w:rFonts w:asciiTheme="minorHAnsi" w:eastAsiaTheme="minorEastAsia" w:hAnsiTheme="minorHAnsi" w:cstheme="minorBidi"/>
          <w:sz w:val="22"/>
          <w:szCs w:val="22"/>
        </w:rPr>
        <w:t xml:space="preserve"> </w:t>
      </w:r>
      <w:r w:rsidR="00170971" w:rsidRPr="006C0CE3">
        <w:rPr>
          <w:rFonts w:asciiTheme="minorHAnsi" w:eastAsiaTheme="minorEastAsia" w:hAnsiTheme="minorHAnsi" w:cstheme="minorBidi"/>
          <w:sz w:val="22"/>
          <w:szCs w:val="22"/>
        </w:rPr>
        <w:t xml:space="preserve">for </w:t>
      </w:r>
      <w:r w:rsidR="00170971" w:rsidRPr="006C0CE3">
        <w:rPr>
          <w:rFonts w:asciiTheme="minorHAnsi" w:eastAsiaTheme="minorEastAsia" w:hAnsiTheme="minorHAnsi" w:cstheme="minorBidi"/>
          <w:noProof/>
          <w:sz w:val="22"/>
          <w:szCs w:val="22"/>
        </w:rPr>
        <w:t>MFP</w:t>
      </w:r>
      <w:r w:rsidRPr="006C0CE3">
        <w:rPr>
          <w:rFonts w:asciiTheme="minorHAnsi" w:eastAsiaTheme="minorEastAsia" w:hAnsiTheme="minorHAnsi" w:cstheme="minorBidi"/>
          <w:noProof/>
          <w:sz w:val="22"/>
          <w:szCs w:val="22"/>
        </w:rPr>
        <w:t>.</w:t>
      </w:r>
      <w:r w:rsidRPr="006C0CE3">
        <w:rPr>
          <w:rFonts w:asciiTheme="minorHAnsi" w:eastAsiaTheme="minorEastAsia" w:hAnsiTheme="minorHAnsi" w:cstheme="minorBidi"/>
          <w:sz w:val="22"/>
          <w:szCs w:val="22"/>
        </w:rPr>
        <w:t xml:space="preserve"> This approach is legally sound, programmatically efficient, and fully aligned with the legislative intent of the IRA.</w:t>
      </w:r>
    </w:p>
    <w:p w14:paraId="114C3CFC" w14:textId="77777777" w:rsidR="00973EBE" w:rsidRPr="006C0CE3" w:rsidRDefault="00973EBE" w:rsidP="768556BD">
      <w:pPr>
        <w:rPr>
          <w:rFonts w:asciiTheme="minorHAnsi" w:eastAsiaTheme="minorEastAsia" w:hAnsiTheme="minorHAnsi" w:cstheme="minorBidi"/>
          <w:noProof/>
          <w:sz w:val="22"/>
          <w:szCs w:val="22"/>
        </w:rPr>
      </w:pPr>
    </w:p>
    <w:p w14:paraId="14B8F81A" w14:textId="77777777"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On the other hand, permitting a manufacturer-preferred system of rebates has the effect of unlawfully shifting a statutory manufacturer obligation onto providers. That contravenes both the letter and the purpose of the law. Without an express statutory directive, CMS lacks the authority to impose such a shift, and the current implementation must be amended to reflect the program Congress legislated.</w:t>
      </w:r>
    </w:p>
    <w:p w14:paraId="1D563648" w14:textId="77777777" w:rsidR="00973EBE" w:rsidRPr="006C0CE3" w:rsidRDefault="00973EBE" w:rsidP="768556BD">
      <w:pPr>
        <w:rPr>
          <w:rFonts w:asciiTheme="minorHAnsi" w:eastAsiaTheme="minorEastAsia" w:hAnsiTheme="minorHAnsi" w:cstheme="minorBidi"/>
          <w:noProof/>
          <w:sz w:val="22"/>
          <w:szCs w:val="22"/>
        </w:rPr>
      </w:pPr>
    </w:p>
    <w:p w14:paraId="1712B6EB" w14:textId="53B885A5" w:rsidR="00973EBE" w:rsidRPr="006C0CE3" w:rsidRDefault="00973EBE" w:rsidP="00D34E48">
      <w:pPr>
        <w:pStyle w:val="ListParagraph"/>
        <w:numPr>
          <w:ilvl w:val="0"/>
          <w:numId w:val="5"/>
        </w:numPr>
        <w:ind w:left="432" w:hanging="432"/>
        <w:rPr>
          <w:rFonts w:asciiTheme="minorHAnsi" w:eastAsiaTheme="minorEastAsia" w:hAnsiTheme="minorHAnsi" w:cstheme="minorBidi"/>
          <w:b/>
          <w:bCs/>
          <w:noProof/>
          <w:sz w:val="22"/>
          <w:szCs w:val="22"/>
        </w:rPr>
      </w:pPr>
      <w:r w:rsidRPr="006C0CE3">
        <w:rPr>
          <w:rFonts w:asciiTheme="minorHAnsi" w:eastAsiaTheme="minorEastAsia" w:hAnsiTheme="minorHAnsi" w:cstheme="minorBidi"/>
          <w:b/>
          <w:bCs/>
          <w:noProof/>
          <w:sz w:val="22"/>
          <w:szCs w:val="22"/>
        </w:rPr>
        <w:t>The Manufacturer-Preferred System of Rebates Is Misaligned with the Administration’s Deregulatory and Price Transparency Initiatives</w:t>
      </w:r>
    </w:p>
    <w:p w14:paraId="6B1CC13E" w14:textId="77777777" w:rsidR="00973EBE" w:rsidRPr="006C0CE3" w:rsidRDefault="00973EBE" w:rsidP="768556BD">
      <w:pPr>
        <w:pStyle w:val="ListParagraph"/>
        <w:rPr>
          <w:rFonts w:asciiTheme="minorHAnsi" w:eastAsiaTheme="minorEastAsia" w:hAnsiTheme="minorHAnsi" w:cstheme="minorBidi"/>
          <w:b/>
          <w:bCs/>
          <w:noProof/>
          <w:sz w:val="22"/>
          <w:szCs w:val="22"/>
        </w:rPr>
      </w:pPr>
    </w:p>
    <w:p w14:paraId="4400150F" w14:textId="77777777" w:rsidR="00973EBE" w:rsidRPr="006C0CE3" w:rsidRDefault="00973EBE" w:rsidP="768556BD">
      <w:pPr>
        <w:numPr>
          <w:ilvl w:val="0"/>
          <w:numId w:val="3"/>
        </w:numPr>
        <w:rPr>
          <w:rFonts w:asciiTheme="minorHAnsi" w:eastAsiaTheme="minorEastAsia" w:hAnsiTheme="minorHAnsi" w:cstheme="minorBidi"/>
          <w:b/>
          <w:bCs/>
          <w:noProof/>
          <w:sz w:val="22"/>
          <w:szCs w:val="22"/>
        </w:rPr>
      </w:pPr>
      <w:r w:rsidRPr="006C0CE3">
        <w:rPr>
          <w:rFonts w:asciiTheme="minorHAnsi" w:eastAsiaTheme="minorEastAsia" w:hAnsiTheme="minorHAnsi" w:cstheme="minorBidi"/>
          <w:b/>
          <w:bCs/>
          <w:noProof/>
          <w:sz w:val="22"/>
          <w:szCs w:val="22"/>
        </w:rPr>
        <w:t>The Administration’s Commitment to Deregulation and Transparency</w:t>
      </w:r>
    </w:p>
    <w:p w14:paraId="72FB3162" w14:textId="77777777" w:rsidR="00973EBE" w:rsidRPr="006C0CE3" w:rsidRDefault="00973EBE" w:rsidP="768556BD">
      <w:pPr>
        <w:ind w:left="720"/>
        <w:rPr>
          <w:rFonts w:asciiTheme="minorHAnsi" w:eastAsiaTheme="minorEastAsia" w:hAnsiTheme="minorHAnsi" w:cstheme="minorBidi"/>
          <w:b/>
          <w:bCs/>
          <w:noProof/>
          <w:sz w:val="22"/>
          <w:szCs w:val="22"/>
        </w:rPr>
      </w:pPr>
    </w:p>
    <w:p w14:paraId="5653817E" w14:textId="2AB593AE"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sz w:val="22"/>
          <w:szCs w:val="22"/>
        </w:rPr>
        <w:t xml:space="preserve">The </w:t>
      </w:r>
      <w:r w:rsidR="2D0606CE" w:rsidRPr="006C0CE3">
        <w:rPr>
          <w:rFonts w:asciiTheme="minorHAnsi" w:eastAsiaTheme="minorEastAsia" w:hAnsiTheme="minorHAnsi" w:cstheme="minorBidi"/>
          <w:sz w:val="22"/>
          <w:szCs w:val="22"/>
        </w:rPr>
        <w:t>a</w:t>
      </w:r>
      <w:r w:rsidRPr="006C0CE3">
        <w:rPr>
          <w:rFonts w:asciiTheme="minorHAnsi" w:eastAsiaTheme="minorEastAsia" w:hAnsiTheme="minorHAnsi" w:cstheme="minorBidi"/>
          <w:sz w:val="22"/>
          <w:szCs w:val="22"/>
        </w:rPr>
        <w:t xml:space="preserve">dministration is intent on reforming the regulatory landscape in healthcare by eliminating unnecessary complexity, increasing administrative efficiency, and improving price transparency. That is why it has issued a series of </w:t>
      </w:r>
      <w:r w:rsidR="5E41CCBC" w:rsidRPr="006C0CE3">
        <w:rPr>
          <w:rFonts w:asciiTheme="minorHAnsi" w:eastAsiaTheme="minorEastAsia" w:hAnsiTheme="minorHAnsi" w:cstheme="minorBidi"/>
          <w:sz w:val="22"/>
          <w:szCs w:val="22"/>
        </w:rPr>
        <w:t>e</w:t>
      </w:r>
      <w:r w:rsidRPr="006C0CE3">
        <w:rPr>
          <w:rFonts w:asciiTheme="minorHAnsi" w:eastAsiaTheme="minorEastAsia" w:hAnsiTheme="minorHAnsi" w:cstheme="minorBidi"/>
          <w:sz w:val="22"/>
          <w:szCs w:val="22"/>
        </w:rPr>
        <w:t xml:space="preserve">xecutive </w:t>
      </w:r>
      <w:r w:rsidR="14D1B1CB" w:rsidRPr="006C0CE3">
        <w:rPr>
          <w:rFonts w:asciiTheme="minorHAnsi" w:eastAsiaTheme="minorEastAsia" w:hAnsiTheme="minorHAnsi" w:cstheme="minorBidi"/>
          <w:sz w:val="22"/>
          <w:szCs w:val="22"/>
        </w:rPr>
        <w:t>o</w:t>
      </w:r>
      <w:r w:rsidRPr="006C0CE3">
        <w:rPr>
          <w:rFonts w:asciiTheme="minorHAnsi" w:eastAsiaTheme="minorEastAsia" w:hAnsiTheme="minorHAnsi" w:cstheme="minorBidi"/>
          <w:sz w:val="22"/>
          <w:szCs w:val="22"/>
        </w:rPr>
        <w:t>rders directing federal agencies to reduce administrative burden, promote regulatory transparency, and advance policies that strengthen Medicare’s fiscal sustainability.</w:t>
      </w:r>
    </w:p>
    <w:p w14:paraId="5234C96C" w14:textId="6D19FEC9" w:rsidR="00973EBE" w:rsidRPr="006C0CE3" w:rsidRDefault="00973EBE" w:rsidP="768556BD">
      <w:pPr>
        <w:rPr>
          <w:rFonts w:asciiTheme="minorHAnsi" w:eastAsiaTheme="minorEastAsia" w:hAnsiTheme="minorHAnsi" w:cstheme="minorBidi"/>
          <w:sz w:val="22"/>
          <w:szCs w:val="22"/>
        </w:rPr>
      </w:pPr>
      <w:r w:rsidRPr="006C0CE3">
        <w:rPr>
          <w:rFonts w:asciiTheme="minorHAnsi" w:eastAsiaTheme="minorEastAsia" w:hAnsiTheme="minorHAnsi" w:cstheme="minorBidi"/>
          <w:sz w:val="22"/>
          <w:szCs w:val="22"/>
        </w:rPr>
        <w:t xml:space="preserve"> </w:t>
      </w:r>
    </w:p>
    <w:p w14:paraId="4E20206E" w14:textId="67C20987" w:rsidR="00973EBE" w:rsidRPr="006C0CE3" w:rsidRDefault="00973EBE" w:rsidP="768556BD">
      <w:pPr>
        <w:rPr>
          <w:rFonts w:asciiTheme="minorHAnsi" w:eastAsiaTheme="minorEastAsia" w:hAnsiTheme="minorHAnsi" w:cstheme="minorBidi"/>
          <w:sz w:val="22"/>
          <w:szCs w:val="22"/>
        </w:rPr>
      </w:pPr>
      <w:r w:rsidRPr="006C0CE3">
        <w:rPr>
          <w:rFonts w:asciiTheme="minorHAnsi" w:eastAsiaTheme="minorEastAsia" w:hAnsiTheme="minorHAnsi" w:cstheme="minorBidi"/>
          <w:sz w:val="22"/>
          <w:szCs w:val="22"/>
        </w:rPr>
        <w:t xml:space="preserve">Executive Order 14192, “Unleashing Prosperity Through Deregulation,” or the “10-for-1 Deregulatory” Executive Order, </w:t>
      </w:r>
      <w:r w:rsidR="281EC6D8" w:rsidRPr="006C0CE3">
        <w:rPr>
          <w:rFonts w:asciiTheme="minorHAnsi" w:eastAsiaTheme="minorEastAsia" w:hAnsiTheme="minorHAnsi" w:cstheme="minorBidi"/>
          <w:noProof/>
          <w:sz w:val="22"/>
          <w:szCs w:val="22"/>
        </w:rPr>
        <w:t>directs</w:t>
      </w:r>
      <w:r w:rsidRPr="006C0CE3">
        <w:rPr>
          <w:rFonts w:asciiTheme="minorHAnsi" w:eastAsiaTheme="minorEastAsia" w:hAnsiTheme="minorHAnsi" w:cstheme="minorBidi"/>
          <w:sz w:val="22"/>
          <w:szCs w:val="22"/>
        </w:rPr>
        <w:t xml:space="preserve"> agencies to eliminate outdated or unduly burdensome requirements </w:t>
      </w:r>
      <w:r w:rsidR="7E6D724E" w:rsidRPr="006C0CE3">
        <w:rPr>
          <w:rFonts w:asciiTheme="minorHAnsi" w:eastAsiaTheme="minorEastAsia" w:hAnsiTheme="minorHAnsi" w:cstheme="minorBidi"/>
          <w:noProof/>
          <w:sz w:val="22"/>
          <w:szCs w:val="22"/>
        </w:rPr>
        <w:t>to</w:t>
      </w:r>
      <w:r w:rsidRPr="006C0CE3">
        <w:rPr>
          <w:rFonts w:asciiTheme="minorHAnsi" w:eastAsiaTheme="minorEastAsia" w:hAnsiTheme="minorHAnsi" w:cstheme="minorBidi"/>
          <w:noProof/>
          <w:sz w:val="22"/>
          <w:szCs w:val="22"/>
        </w:rPr>
        <w:t xml:space="preserve"> </w:t>
      </w:r>
      <w:r w:rsidRPr="006C0CE3">
        <w:rPr>
          <w:rFonts w:asciiTheme="minorHAnsi" w:eastAsiaTheme="minorEastAsia" w:hAnsiTheme="minorHAnsi" w:cstheme="minorBidi"/>
          <w:sz w:val="22"/>
          <w:szCs w:val="22"/>
        </w:rPr>
        <w:t>reduce the overall regulatory burden on the economy.</w:t>
      </w:r>
      <w:r w:rsidRPr="006C0CE3">
        <w:rPr>
          <w:rFonts w:asciiTheme="minorHAnsi" w:eastAsiaTheme="minorEastAsia" w:hAnsiTheme="minorHAnsi" w:cstheme="minorBidi"/>
          <w:sz w:val="22"/>
          <w:szCs w:val="22"/>
          <w:vertAlign w:val="superscript"/>
        </w:rPr>
        <w:footnoteReference w:id="2"/>
      </w:r>
      <w:r w:rsidRPr="006C0CE3">
        <w:rPr>
          <w:rFonts w:asciiTheme="minorHAnsi" w:eastAsiaTheme="minorEastAsia" w:hAnsiTheme="minorHAnsi" w:cstheme="minorBidi"/>
          <w:sz w:val="22"/>
          <w:szCs w:val="22"/>
        </w:rPr>
        <w:t xml:space="preserve"> Executive Order 14273, “Lowering Drug Prices by Once Again Putting Americans First,” further directs </w:t>
      </w:r>
      <w:r w:rsidR="4B72C2C6" w:rsidRPr="006C0CE3">
        <w:rPr>
          <w:rFonts w:asciiTheme="minorHAnsi" w:eastAsiaTheme="minorEastAsia" w:hAnsiTheme="minorHAnsi" w:cstheme="minorBidi"/>
          <w:sz w:val="22"/>
          <w:szCs w:val="22"/>
        </w:rPr>
        <w:t xml:space="preserve">the Department of Health </w:t>
      </w:r>
      <w:r w:rsidR="3EB2CBA5" w:rsidRPr="006C0CE3">
        <w:rPr>
          <w:rFonts w:asciiTheme="minorHAnsi" w:eastAsiaTheme="minorEastAsia" w:hAnsiTheme="minorHAnsi" w:cstheme="minorBidi"/>
          <w:sz w:val="22"/>
          <w:szCs w:val="22"/>
        </w:rPr>
        <w:t xml:space="preserve">and </w:t>
      </w:r>
      <w:r w:rsidR="4B72C2C6" w:rsidRPr="006C0CE3">
        <w:rPr>
          <w:rFonts w:asciiTheme="minorHAnsi" w:eastAsiaTheme="minorEastAsia" w:hAnsiTheme="minorHAnsi" w:cstheme="minorBidi"/>
          <w:sz w:val="22"/>
          <w:szCs w:val="22"/>
        </w:rPr>
        <w:t xml:space="preserve">Human Services </w:t>
      </w:r>
      <w:r w:rsidRPr="006C0CE3">
        <w:rPr>
          <w:rFonts w:asciiTheme="minorHAnsi" w:eastAsiaTheme="minorEastAsia" w:hAnsiTheme="minorHAnsi" w:cstheme="minorBidi"/>
          <w:sz w:val="22"/>
          <w:szCs w:val="22"/>
        </w:rPr>
        <w:t xml:space="preserve">to implement the IRA’s negotiation program in a manner that improves cost savings and transparency and </w:t>
      </w:r>
      <w:r w:rsidRPr="006C0CE3">
        <w:rPr>
          <w:rFonts w:asciiTheme="minorHAnsi" w:eastAsiaTheme="minorEastAsia" w:hAnsiTheme="minorHAnsi" w:cstheme="minorBidi"/>
          <w:sz w:val="22"/>
          <w:szCs w:val="22"/>
        </w:rPr>
        <w:lastRenderedPageBreak/>
        <w:t>seeks broad policy recommendations that “promote a more competitive, efficient, transparent, and resilient pharmaceutical value chain that delivers lower drug prices for Americans.”</w:t>
      </w:r>
      <w:r w:rsidRPr="006C0CE3">
        <w:rPr>
          <w:rFonts w:asciiTheme="minorHAnsi" w:eastAsiaTheme="minorEastAsia" w:hAnsiTheme="minorHAnsi" w:cstheme="minorBidi"/>
          <w:sz w:val="22"/>
          <w:szCs w:val="22"/>
          <w:vertAlign w:val="superscript"/>
        </w:rPr>
        <w:footnoteReference w:id="3"/>
      </w:r>
    </w:p>
    <w:p w14:paraId="564AC2A8" w14:textId="77777777" w:rsidR="00973EBE" w:rsidRPr="006C0CE3" w:rsidRDefault="00973EBE" w:rsidP="768556BD">
      <w:pPr>
        <w:rPr>
          <w:rFonts w:asciiTheme="minorHAnsi" w:eastAsiaTheme="minorEastAsia" w:hAnsiTheme="minorHAnsi" w:cstheme="minorBidi"/>
          <w:noProof/>
          <w:sz w:val="22"/>
          <w:szCs w:val="22"/>
        </w:rPr>
      </w:pPr>
    </w:p>
    <w:p w14:paraId="418900E4" w14:textId="77777777" w:rsidR="00973EBE" w:rsidRPr="006C0CE3" w:rsidRDefault="00973EBE" w:rsidP="768556BD">
      <w:pPr>
        <w:numPr>
          <w:ilvl w:val="0"/>
          <w:numId w:val="3"/>
        </w:numPr>
        <w:rPr>
          <w:rFonts w:asciiTheme="minorHAnsi" w:eastAsiaTheme="minorEastAsia" w:hAnsiTheme="minorHAnsi" w:cstheme="minorBidi"/>
          <w:b/>
          <w:bCs/>
          <w:noProof/>
          <w:sz w:val="22"/>
          <w:szCs w:val="22"/>
        </w:rPr>
      </w:pPr>
      <w:r w:rsidRPr="006C0CE3">
        <w:rPr>
          <w:rFonts w:asciiTheme="minorHAnsi" w:eastAsiaTheme="minorEastAsia" w:hAnsiTheme="minorHAnsi" w:cstheme="minorBidi"/>
          <w:b/>
          <w:bCs/>
          <w:noProof/>
          <w:sz w:val="22"/>
          <w:szCs w:val="22"/>
        </w:rPr>
        <w:t>The Rebate Process Creates Uncertainty and Administrative Complexity</w:t>
      </w:r>
    </w:p>
    <w:p w14:paraId="50B42FCF" w14:textId="77777777" w:rsidR="00973EBE" w:rsidRPr="006C0CE3" w:rsidRDefault="00973EBE" w:rsidP="768556BD">
      <w:pPr>
        <w:ind w:left="720"/>
        <w:rPr>
          <w:rFonts w:asciiTheme="minorHAnsi" w:eastAsiaTheme="minorEastAsia" w:hAnsiTheme="minorHAnsi" w:cstheme="minorBidi"/>
          <w:b/>
          <w:bCs/>
          <w:noProof/>
          <w:sz w:val="22"/>
          <w:szCs w:val="22"/>
        </w:rPr>
      </w:pPr>
    </w:p>
    <w:p w14:paraId="3FF3F801" w14:textId="071FDA50" w:rsidR="00973EBE" w:rsidRPr="006C0CE3" w:rsidRDefault="00973EBE" w:rsidP="768556BD">
      <w:pPr>
        <w:rPr>
          <w:rFonts w:asciiTheme="minorHAnsi" w:eastAsiaTheme="minorEastAsia" w:hAnsiTheme="minorHAnsi" w:cstheme="minorBidi"/>
          <w:sz w:val="22"/>
          <w:szCs w:val="22"/>
        </w:rPr>
      </w:pPr>
      <w:r w:rsidRPr="006C0CE3">
        <w:rPr>
          <w:rFonts w:asciiTheme="minorHAnsi" w:eastAsiaTheme="minorEastAsia" w:hAnsiTheme="minorHAnsi" w:cstheme="minorBidi"/>
          <w:sz w:val="22"/>
          <w:szCs w:val="22"/>
        </w:rPr>
        <w:t>Under the manufacturer-preferred system of rebates, pharmacies</w:t>
      </w:r>
      <w:r w:rsidR="00170971" w:rsidRPr="006C0CE3">
        <w:rPr>
          <w:rFonts w:asciiTheme="minorHAnsi" w:eastAsiaTheme="minorEastAsia" w:hAnsiTheme="minorHAnsi" w:cstheme="minorBidi"/>
          <w:sz w:val="22"/>
          <w:szCs w:val="22"/>
        </w:rPr>
        <w:t xml:space="preserve"> and providers</w:t>
      </w:r>
      <w:r w:rsidRPr="006C0CE3">
        <w:rPr>
          <w:rFonts w:asciiTheme="minorHAnsi" w:eastAsiaTheme="minorEastAsia" w:hAnsiTheme="minorHAnsi" w:cstheme="minorBidi"/>
          <w:sz w:val="22"/>
          <w:szCs w:val="22"/>
        </w:rPr>
        <w:t xml:space="preserve"> have no assurance on how or when they will be reimbursed. CMS’s program guidance established a Medicare Transaction Facilitator to serve as the primary infrastructure for effectuating the discounts.</w:t>
      </w:r>
      <w:r w:rsidRPr="006C0CE3">
        <w:rPr>
          <w:rFonts w:asciiTheme="minorHAnsi" w:eastAsiaTheme="minorEastAsia" w:hAnsiTheme="minorHAnsi" w:cstheme="minorBidi"/>
          <w:sz w:val="22"/>
          <w:szCs w:val="22"/>
          <w:vertAlign w:val="superscript"/>
        </w:rPr>
        <w:footnoteReference w:id="4"/>
      </w:r>
      <w:r w:rsidRPr="006C0CE3">
        <w:rPr>
          <w:rFonts w:asciiTheme="minorHAnsi" w:eastAsiaTheme="minorEastAsia" w:hAnsiTheme="minorHAnsi" w:cstheme="minorBidi"/>
          <w:sz w:val="22"/>
          <w:szCs w:val="22"/>
        </w:rPr>
        <w:t xml:space="preserve"> CMS also plans to create a payment module to provide a clearinghouse that manufacturers </w:t>
      </w:r>
      <w:r w:rsidRPr="006C0CE3">
        <w:rPr>
          <w:rFonts w:asciiTheme="minorHAnsi" w:eastAsiaTheme="minorEastAsia" w:hAnsiTheme="minorHAnsi" w:cstheme="minorBidi"/>
          <w:b/>
          <w:bCs/>
          <w:i/>
          <w:iCs/>
          <w:sz w:val="22"/>
          <w:szCs w:val="22"/>
        </w:rPr>
        <w:t>may</w:t>
      </w:r>
      <w:r w:rsidRPr="006C0CE3">
        <w:rPr>
          <w:rFonts w:asciiTheme="minorHAnsi" w:eastAsiaTheme="minorEastAsia" w:hAnsiTheme="minorHAnsi" w:cstheme="minorBidi"/>
          <w:sz w:val="22"/>
          <w:szCs w:val="22"/>
        </w:rPr>
        <w:t xml:space="preserve"> use to provide rebates to dispensing entities, but right now, manufacturers are </w:t>
      </w:r>
      <w:r w:rsidRPr="006C0CE3">
        <w:rPr>
          <w:rFonts w:asciiTheme="minorHAnsi" w:eastAsiaTheme="minorEastAsia" w:hAnsiTheme="minorHAnsi" w:cstheme="minorBidi"/>
          <w:b/>
          <w:bCs/>
          <w:i/>
          <w:iCs/>
          <w:sz w:val="22"/>
          <w:szCs w:val="22"/>
        </w:rPr>
        <w:t xml:space="preserve">not required </w:t>
      </w:r>
      <w:r w:rsidRPr="006C0CE3">
        <w:rPr>
          <w:rFonts w:asciiTheme="minorHAnsi" w:eastAsiaTheme="minorEastAsia" w:hAnsiTheme="minorHAnsi" w:cstheme="minorBidi"/>
          <w:sz w:val="22"/>
          <w:szCs w:val="22"/>
        </w:rPr>
        <w:t>to use the yet-to-be-built payment module. Manufacturers will establish their own systems, rules, and processes for every Medicare negotiated medication they manufacture.</w:t>
      </w:r>
      <w:r w:rsidRPr="006C0CE3">
        <w:rPr>
          <w:rFonts w:asciiTheme="minorHAnsi" w:eastAsiaTheme="minorEastAsia" w:hAnsiTheme="minorHAnsi" w:cstheme="minorBidi"/>
          <w:sz w:val="22"/>
          <w:szCs w:val="22"/>
          <w:vertAlign w:val="superscript"/>
        </w:rPr>
        <w:footnoteReference w:id="5"/>
      </w:r>
      <w:r w:rsidRPr="006C0CE3">
        <w:rPr>
          <w:rFonts w:asciiTheme="minorHAnsi" w:eastAsiaTheme="minorEastAsia" w:hAnsiTheme="minorHAnsi" w:cstheme="minorBidi"/>
          <w:sz w:val="22"/>
          <w:szCs w:val="22"/>
        </w:rPr>
        <w:t xml:space="preserve"> By permitting manufacturers to either (1) use the CMS payment module for rebates or (2) develop bespoke rebate mechanisms outside of the CMS system, manufacturers will </w:t>
      </w:r>
      <w:r w:rsidR="3A0E4542" w:rsidRPr="006C0CE3">
        <w:rPr>
          <w:rFonts w:asciiTheme="minorHAnsi" w:eastAsiaTheme="minorEastAsia" w:hAnsiTheme="minorHAnsi" w:cstheme="minorBidi"/>
          <w:noProof/>
          <w:sz w:val="22"/>
          <w:szCs w:val="22"/>
        </w:rPr>
        <w:t>w</w:t>
      </w:r>
      <w:r w:rsidR="0F7703F8" w:rsidRPr="006C0CE3">
        <w:rPr>
          <w:rFonts w:asciiTheme="minorHAnsi" w:eastAsiaTheme="minorEastAsia" w:hAnsiTheme="minorHAnsi" w:cstheme="minorBidi"/>
          <w:noProof/>
          <w:sz w:val="22"/>
          <w:szCs w:val="22"/>
        </w:rPr>
        <w:t>i</w:t>
      </w:r>
      <w:r w:rsidRPr="006C0CE3">
        <w:rPr>
          <w:rFonts w:asciiTheme="minorHAnsi" w:eastAsiaTheme="minorEastAsia" w:hAnsiTheme="minorHAnsi" w:cstheme="minorBidi"/>
          <w:noProof/>
          <w:sz w:val="22"/>
          <w:szCs w:val="22"/>
        </w:rPr>
        <w:t>eld</w:t>
      </w:r>
      <w:r w:rsidRPr="006C0CE3">
        <w:rPr>
          <w:rFonts w:asciiTheme="minorHAnsi" w:eastAsiaTheme="minorEastAsia" w:hAnsiTheme="minorHAnsi" w:cstheme="minorBidi"/>
          <w:sz w:val="22"/>
          <w:szCs w:val="22"/>
        </w:rPr>
        <w:t xml:space="preserve"> immense control over the process. And one thing is certain, whatever process manufacturers use will shift the administrative burden to providers and CMS itself. </w:t>
      </w:r>
    </w:p>
    <w:p w14:paraId="11F7A87D" w14:textId="46CE6D20" w:rsidR="42AC5F16" w:rsidRPr="006C0CE3" w:rsidRDefault="42AC5F16" w:rsidP="768556BD">
      <w:pPr>
        <w:rPr>
          <w:rFonts w:asciiTheme="minorHAnsi" w:eastAsiaTheme="minorEastAsia" w:hAnsiTheme="minorHAnsi" w:cstheme="minorBidi"/>
          <w:noProof/>
          <w:sz w:val="22"/>
          <w:szCs w:val="22"/>
        </w:rPr>
      </w:pPr>
    </w:p>
    <w:p w14:paraId="709DAE50" w14:textId="68B91C87" w:rsidR="00973EBE" w:rsidRPr="006C0CE3" w:rsidRDefault="00973EBE" w:rsidP="768556BD">
      <w:pPr>
        <w:rPr>
          <w:rFonts w:asciiTheme="minorHAnsi" w:eastAsiaTheme="minorEastAsia" w:hAnsiTheme="minorHAnsi" w:cstheme="minorBidi"/>
          <w:sz w:val="22"/>
          <w:szCs w:val="22"/>
        </w:rPr>
      </w:pPr>
      <w:r w:rsidRPr="006C0CE3">
        <w:rPr>
          <w:rFonts w:asciiTheme="minorHAnsi" w:eastAsiaTheme="minorEastAsia" w:hAnsiTheme="minorHAnsi" w:cstheme="minorBidi"/>
          <w:sz w:val="22"/>
          <w:szCs w:val="22"/>
        </w:rPr>
        <w:t>If that sounds like regulations on regulations, that’s because it effectively is. Manufacturers will impose complex and burdensome red tape on pharmacies</w:t>
      </w:r>
      <w:r w:rsidR="00170971" w:rsidRPr="006C0CE3">
        <w:rPr>
          <w:rFonts w:asciiTheme="minorHAnsi" w:eastAsiaTheme="minorEastAsia" w:hAnsiTheme="minorHAnsi" w:cstheme="minorBidi"/>
          <w:sz w:val="22"/>
          <w:szCs w:val="22"/>
        </w:rPr>
        <w:t xml:space="preserve"> and providers</w:t>
      </w:r>
      <w:r w:rsidRPr="006C0CE3">
        <w:rPr>
          <w:rFonts w:asciiTheme="minorHAnsi" w:eastAsiaTheme="minorEastAsia" w:hAnsiTheme="minorHAnsi" w:cstheme="minorBidi"/>
          <w:sz w:val="22"/>
          <w:szCs w:val="22"/>
        </w:rPr>
        <w:t xml:space="preserve"> that undermine the IRA’s objectives at every turn. That also means that CMS’s oversight responsibilities will multiply. The agency will need to evaluate and track numerous and varying rebate frameworks across all selected drugs and all participating manufacturers. This duplication of effort is unnecessary and avoidable. It adds compliance risk, consumes federal resources, and detracts from CMS’s ability to focus on programmatic integrity and beneficiary outcomes.</w:t>
      </w:r>
    </w:p>
    <w:p w14:paraId="7920036F" w14:textId="77777777" w:rsidR="00973EBE" w:rsidRPr="006C0CE3" w:rsidRDefault="00973EBE" w:rsidP="768556BD">
      <w:pPr>
        <w:rPr>
          <w:rFonts w:asciiTheme="minorHAnsi" w:eastAsiaTheme="minorEastAsia" w:hAnsiTheme="minorHAnsi" w:cstheme="minorBidi"/>
          <w:noProof/>
          <w:sz w:val="22"/>
          <w:szCs w:val="22"/>
        </w:rPr>
      </w:pPr>
    </w:p>
    <w:p w14:paraId="39F78E9D" w14:textId="77777777" w:rsidR="00973EBE" w:rsidRPr="006C0CE3" w:rsidRDefault="00973EBE" w:rsidP="768556BD">
      <w:pPr>
        <w:numPr>
          <w:ilvl w:val="0"/>
          <w:numId w:val="3"/>
        </w:numPr>
        <w:rPr>
          <w:rFonts w:asciiTheme="minorHAnsi" w:eastAsiaTheme="minorEastAsia" w:hAnsiTheme="minorHAnsi" w:cstheme="minorBidi"/>
          <w:b/>
          <w:bCs/>
          <w:noProof/>
          <w:sz w:val="22"/>
          <w:szCs w:val="22"/>
        </w:rPr>
      </w:pPr>
      <w:r w:rsidRPr="006C0CE3">
        <w:rPr>
          <w:rFonts w:asciiTheme="minorHAnsi" w:eastAsiaTheme="minorEastAsia" w:hAnsiTheme="minorHAnsi" w:cstheme="minorBidi"/>
          <w:b/>
          <w:bCs/>
          <w:noProof/>
          <w:sz w:val="22"/>
          <w:szCs w:val="22"/>
        </w:rPr>
        <w:t>CMS’s Regulatory Relief RFI Recognized the Excessive Burden on Providers</w:t>
      </w:r>
    </w:p>
    <w:p w14:paraId="51C37EF6" w14:textId="77777777" w:rsidR="00973EBE" w:rsidRPr="006C0CE3" w:rsidRDefault="00973EBE" w:rsidP="768556BD">
      <w:pPr>
        <w:ind w:left="720"/>
        <w:rPr>
          <w:rFonts w:asciiTheme="minorHAnsi" w:eastAsiaTheme="minorEastAsia" w:hAnsiTheme="minorHAnsi" w:cstheme="minorBidi"/>
          <w:b/>
          <w:bCs/>
          <w:noProof/>
          <w:sz w:val="22"/>
          <w:szCs w:val="22"/>
        </w:rPr>
      </w:pPr>
    </w:p>
    <w:p w14:paraId="6926F8AC" w14:textId="1FAF92FA" w:rsidR="00973EBE" w:rsidRPr="006C0CE3" w:rsidRDefault="00973EBE" w:rsidP="768556BD">
      <w:pPr>
        <w:rPr>
          <w:rFonts w:asciiTheme="minorHAnsi" w:eastAsiaTheme="minorEastAsia" w:hAnsiTheme="minorHAnsi" w:cstheme="minorBidi"/>
          <w:sz w:val="22"/>
          <w:szCs w:val="22"/>
        </w:rPr>
      </w:pPr>
      <w:r w:rsidRPr="006C0CE3">
        <w:rPr>
          <w:rFonts w:asciiTheme="minorHAnsi" w:eastAsiaTheme="minorEastAsia" w:hAnsiTheme="minorHAnsi" w:cstheme="minorBidi"/>
          <w:sz w:val="22"/>
          <w:szCs w:val="22"/>
        </w:rPr>
        <w:t xml:space="preserve">CMS’s Medicare Regulatory Relief Request for Information (RFI), issued in furtherance of Executive Order 14192, explicitly sought stakeholder input on deregulation to reduce </w:t>
      </w:r>
      <w:r w:rsidRPr="006C0CE3">
        <w:rPr>
          <w:rFonts w:asciiTheme="minorHAnsi" w:eastAsiaTheme="minorEastAsia" w:hAnsiTheme="minorHAnsi" w:cstheme="minorBidi"/>
          <w:b/>
          <w:bCs/>
          <w:i/>
          <w:iCs/>
          <w:sz w:val="22"/>
          <w:szCs w:val="22"/>
        </w:rPr>
        <w:t>provider</w:t>
      </w:r>
      <w:r w:rsidRPr="006C0CE3">
        <w:rPr>
          <w:rFonts w:asciiTheme="minorHAnsi" w:eastAsiaTheme="minorEastAsia" w:hAnsiTheme="minorHAnsi" w:cstheme="minorBidi"/>
          <w:i/>
          <w:iCs/>
          <w:sz w:val="22"/>
          <w:szCs w:val="22"/>
        </w:rPr>
        <w:t xml:space="preserve"> </w:t>
      </w:r>
      <w:r w:rsidRPr="006C0CE3">
        <w:rPr>
          <w:rFonts w:asciiTheme="minorHAnsi" w:eastAsiaTheme="minorEastAsia" w:hAnsiTheme="minorHAnsi" w:cstheme="minorBidi"/>
          <w:b/>
          <w:bCs/>
          <w:i/>
          <w:iCs/>
          <w:sz w:val="22"/>
          <w:szCs w:val="22"/>
        </w:rPr>
        <w:t>burden</w:t>
      </w:r>
      <w:r w:rsidRPr="006C0CE3">
        <w:rPr>
          <w:rFonts w:asciiTheme="minorHAnsi" w:eastAsiaTheme="minorEastAsia" w:hAnsiTheme="minorHAnsi" w:cstheme="minorBidi"/>
          <w:sz w:val="22"/>
          <w:szCs w:val="22"/>
        </w:rPr>
        <w:t>, streamline compliance obligations, and prioritize policies that enable providers to focus on care delivery rather than administrative complexity.</w:t>
      </w:r>
      <w:r w:rsidRPr="006C0CE3">
        <w:rPr>
          <w:rFonts w:asciiTheme="minorHAnsi" w:eastAsiaTheme="minorEastAsia" w:hAnsiTheme="minorHAnsi" w:cstheme="minorBidi"/>
          <w:sz w:val="22"/>
          <w:szCs w:val="22"/>
          <w:vertAlign w:val="superscript"/>
        </w:rPr>
        <w:footnoteReference w:id="6"/>
      </w:r>
      <w:r w:rsidRPr="006C0CE3">
        <w:rPr>
          <w:rFonts w:asciiTheme="minorHAnsi" w:eastAsiaTheme="minorEastAsia" w:hAnsiTheme="minorHAnsi" w:cstheme="minorBidi"/>
          <w:sz w:val="22"/>
          <w:szCs w:val="22"/>
        </w:rPr>
        <w:t xml:space="preserve"> The RFI recognized that policies which “require duplicative processes” or “impose excessive operational costs” can drive providers away from federal programs and ultimately undermine patient access and health equity. The manufacturer-preferred system of rebates exemplifies exactly the kind of system CMS identified as problematic in its RFI. It creates variation where uniformity is possible and risks not only increasing overhead costs but also deterring provider participation.</w:t>
      </w:r>
    </w:p>
    <w:p w14:paraId="69E3C220" w14:textId="6BCB1BFD" w:rsidR="42AC5F16" w:rsidRPr="006C0CE3" w:rsidRDefault="42AC5F16" w:rsidP="768556BD">
      <w:pPr>
        <w:rPr>
          <w:rFonts w:asciiTheme="minorHAnsi" w:eastAsiaTheme="minorEastAsia" w:hAnsiTheme="minorHAnsi" w:cstheme="minorBidi"/>
          <w:noProof/>
          <w:sz w:val="22"/>
          <w:szCs w:val="22"/>
        </w:rPr>
      </w:pPr>
    </w:p>
    <w:p w14:paraId="2BC20ADD" w14:textId="323BF513" w:rsidR="42AC5F16" w:rsidRPr="006C0CE3" w:rsidRDefault="42AC5F16" w:rsidP="768556BD">
      <w:pPr>
        <w:rPr>
          <w:rFonts w:asciiTheme="minorHAnsi" w:eastAsiaTheme="minorEastAsia" w:hAnsiTheme="minorHAnsi" w:cstheme="minorBidi"/>
          <w:noProof/>
          <w:sz w:val="22"/>
          <w:szCs w:val="22"/>
        </w:rPr>
      </w:pPr>
    </w:p>
    <w:p w14:paraId="1257A250" w14:textId="5E6AAE06" w:rsidR="42AC5F16" w:rsidRPr="006C0CE3" w:rsidRDefault="42AC5F16" w:rsidP="768556BD">
      <w:pPr>
        <w:rPr>
          <w:rFonts w:asciiTheme="minorHAnsi" w:eastAsiaTheme="minorEastAsia" w:hAnsiTheme="minorHAnsi" w:cstheme="minorBidi"/>
          <w:noProof/>
          <w:sz w:val="22"/>
          <w:szCs w:val="22"/>
        </w:rPr>
      </w:pPr>
    </w:p>
    <w:p w14:paraId="68D1A965" w14:textId="77777777" w:rsidR="00973EBE" w:rsidRPr="006C0CE3" w:rsidRDefault="00973EBE" w:rsidP="768556BD">
      <w:pPr>
        <w:rPr>
          <w:rFonts w:asciiTheme="minorHAnsi" w:eastAsiaTheme="minorEastAsia" w:hAnsiTheme="minorHAnsi" w:cstheme="minorBidi"/>
          <w:noProof/>
          <w:sz w:val="22"/>
          <w:szCs w:val="22"/>
        </w:rPr>
      </w:pPr>
    </w:p>
    <w:p w14:paraId="171EBDF2" w14:textId="77777777" w:rsidR="00973EBE" w:rsidRPr="006C0CE3" w:rsidRDefault="00973EBE" w:rsidP="768556BD">
      <w:pPr>
        <w:numPr>
          <w:ilvl w:val="0"/>
          <w:numId w:val="3"/>
        </w:numPr>
        <w:rPr>
          <w:rFonts w:asciiTheme="minorHAnsi" w:eastAsiaTheme="minorEastAsia" w:hAnsiTheme="minorHAnsi" w:cstheme="minorBidi"/>
          <w:b/>
          <w:bCs/>
          <w:noProof/>
          <w:sz w:val="22"/>
          <w:szCs w:val="22"/>
        </w:rPr>
      </w:pPr>
      <w:r w:rsidRPr="006C0CE3">
        <w:rPr>
          <w:rFonts w:asciiTheme="minorHAnsi" w:eastAsiaTheme="minorEastAsia" w:hAnsiTheme="minorHAnsi" w:cstheme="minorBidi"/>
          <w:b/>
          <w:bCs/>
          <w:noProof/>
          <w:sz w:val="22"/>
          <w:szCs w:val="22"/>
        </w:rPr>
        <w:t>Prospective Discounts Are the Deregulatory, Transparent Alternative</w:t>
      </w:r>
    </w:p>
    <w:p w14:paraId="4AD9BBC6" w14:textId="77777777" w:rsidR="00973EBE" w:rsidRPr="006C0CE3" w:rsidRDefault="00973EBE" w:rsidP="768556BD">
      <w:pPr>
        <w:ind w:left="720"/>
        <w:rPr>
          <w:rFonts w:asciiTheme="minorHAnsi" w:eastAsiaTheme="minorEastAsia" w:hAnsiTheme="minorHAnsi" w:cstheme="minorBidi"/>
          <w:b/>
          <w:bCs/>
          <w:noProof/>
          <w:sz w:val="22"/>
          <w:szCs w:val="22"/>
        </w:rPr>
      </w:pPr>
    </w:p>
    <w:p w14:paraId="1169B021" w14:textId="4F08E2CB"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 xml:space="preserve">A </w:t>
      </w:r>
      <w:r w:rsidRPr="006C0CE3">
        <w:rPr>
          <w:rFonts w:asciiTheme="minorHAnsi" w:eastAsiaTheme="minorEastAsia" w:hAnsiTheme="minorHAnsi" w:cstheme="minorBidi"/>
          <w:b/>
          <w:bCs/>
          <w:noProof/>
          <w:sz w:val="22"/>
          <w:szCs w:val="22"/>
        </w:rPr>
        <w:t>prospective discount requirement</w:t>
      </w:r>
      <w:r w:rsidRPr="006C0CE3">
        <w:rPr>
          <w:rFonts w:asciiTheme="minorHAnsi" w:eastAsiaTheme="minorEastAsia" w:hAnsiTheme="minorHAnsi" w:cstheme="minorBidi"/>
          <w:noProof/>
          <w:sz w:val="22"/>
          <w:szCs w:val="22"/>
        </w:rPr>
        <w:t xml:space="preserve">, by contrast, will eliminate dozens of redundant processes, streamline regulatory oversight, and ensure the negotiated prices are administered uniformly and transparently. CMS should take this opportunity to realign its implementation with the </w:t>
      </w:r>
      <w:r w:rsidR="5BD5939D" w:rsidRPr="006C0CE3">
        <w:rPr>
          <w:rFonts w:asciiTheme="minorHAnsi" w:eastAsiaTheme="minorEastAsia" w:hAnsiTheme="minorHAnsi" w:cstheme="minorBidi"/>
          <w:noProof/>
          <w:sz w:val="22"/>
          <w:szCs w:val="22"/>
        </w:rPr>
        <w:t>a</w:t>
      </w:r>
      <w:r w:rsidRPr="006C0CE3">
        <w:rPr>
          <w:rFonts w:asciiTheme="minorHAnsi" w:eastAsiaTheme="minorEastAsia" w:hAnsiTheme="minorHAnsi" w:cstheme="minorBidi"/>
          <w:noProof/>
          <w:sz w:val="22"/>
          <w:szCs w:val="22"/>
        </w:rPr>
        <w:t>dministration’s regulatory and policy objectives.</w:t>
      </w:r>
    </w:p>
    <w:p w14:paraId="53129317" w14:textId="77777777" w:rsidR="00973EBE" w:rsidRPr="006C0CE3" w:rsidRDefault="00973EBE" w:rsidP="768556BD">
      <w:pPr>
        <w:rPr>
          <w:rFonts w:asciiTheme="minorHAnsi" w:eastAsiaTheme="minorEastAsia" w:hAnsiTheme="minorHAnsi" w:cstheme="minorBidi"/>
          <w:noProof/>
          <w:sz w:val="22"/>
          <w:szCs w:val="22"/>
        </w:rPr>
      </w:pPr>
    </w:p>
    <w:p w14:paraId="1E9692D8" w14:textId="499D61EA" w:rsidR="00973EBE" w:rsidRPr="006C0CE3" w:rsidRDefault="00973EBE" w:rsidP="00A44454">
      <w:pPr>
        <w:pStyle w:val="ListParagraph"/>
        <w:numPr>
          <w:ilvl w:val="0"/>
          <w:numId w:val="5"/>
        </w:numPr>
        <w:ind w:left="432" w:hanging="432"/>
        <w:rPr>
          <w:rFonts w:asciiTheme="minorHAnsi" w:eastAsiaTheme="minorEastAsia" w:hAnsiTheme="minorHAnsi" w:cstheme="minorBidi"/>
          <w:b/>
          <w:bCs/>
          <w:noProof/>
          <w:sz w:val="22"/>
          <w:szCs w:val="22"/>
        </w:rPr>
      </w:pPr>
      <w:r w:rsidRPr="006C0CE3">
        <w:rPr>
          <w:rFonts w:asciiTheme="minorHAnsi" w:eastAsiaTheme="minorEastAsia" w:hAnsiTheme="minorHAnsi" w:cstheme="minorBidi"/>
          <w:b/>
          <w:bCs/>
          <w:sz w:val="22"/>
          <w:szCs w:val="22"/>
        </w:rPr>
        <w:t>An Upfront Discount Process is Needed to Ensure the IRA’s Drug Price Negotiation Program Achieves the Full Range of Benefits Congress Intended</w:t>
      </w:r>
    </w:p>
    <w:p w14:paraId="79A92838" w14:textId="59CFFBAB" w:rsidR="00973EBE" w:rsidRPr="006C0CE3" w:rsidRDefault="00973EBE" w:rsidP="768556BD">
      <w:pPr>
        <w:pStyle w:val="ListParagraph"/>
        <w:rPr>
          <w:rFonts w:asciiTheme="minorHAnsi" w:eastAsiaTheme="minorEastAsia" w:hAnsiTheme="minorHAnsi" w:cstheme="minorBidi"/>
          <w:b/>
          <w:bCs/>
          <w:noProof/>
          <w:sz w:val="22"/>
          <w:szCs w:val="22"/>
        </w:rPr>
      </w:pPr>
    </w:p>
    <w:p w14:paraId="118C2C6F" w14:textId="77777777" w:rsidR="00973EBE" w:rsidRPr="006C0CE3" w:rsidRDefault="00973EBE" w:rsidP="768556BD">
      <w:pPr>
        <w:numPr>
          <w:ilvl w:val="0"/>
          <w:numId w:val="4"/>
        </w:numPr>
        <w:rPr>
          <w:rFonts w:asciiTheme="minorHAnsi" w:eastAsiaTheme="minorEastAsia" w:hAnsiTheme="minorHAnsi" w:cstheme="minorBidi"/>
          <w:b/>
          <w:bCs/>
          <w:noProof/>
          <w:sz w:val="22"/>
          <w:szCs w:val="22"/>
        </w:rPr>
      </w:pPr>
      <w:r w:rsidRPr="006C0CE3">
        <w:rPr>
          <w:rFonts w:asciiTheme="minorHAnsi" w:eastAsiaTheme="minorEastAsia" w:hAnsiTheme="minorHAnsi" w:cstheme="minorBidi"/>
          <w:b/>
          <w:bCs/>
          <w:noProof/>
          <w:sz w:val="22"/>
          <w:szCs w:val="22"/>
        </w:rPr>
        <w:t>The IRA’s Drug Pricing Goals are Dependent on Dispenser Participation</w:t>
      </w:r>
    </w:p>
    <w:p w14:paraId="04DC2A1C" w14:textId="77777777" w:rsidR="00973EBE" w:rsidRPr="006C0CE3" w:rsidRDefault="00973EBE" w:rsidP="768556BD">
      <w:pPr>
        <w:ind w:left="720"/>
        <w:rPr>
          <w:rFonts w:asciiTheme="minorHAnsi" w:eastAsiaTheme="minorEastAsia" w:hAnsiTheme="minorHAnsi" w:cstheme="minorBidi"/>
          <w:b/>
          <w:bCs/>
          <w:noProof/>
          <w:sz w:val="22"/>
          <w:szCs w:val="22"/>
        </w:rPr>
      </w:pPr>
    </w:p>
    <w:p w14:paraId="49914822" w14:textId="274AD973"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 xml:space="preserve">The IRA’s drug pricing provisions reflect a congressional mandate to improve drug price affordability for Medicare beneficiaries and the federal government. The statute is intended to reduce out-of-pocket costs and overall program spending, increase transparency in drug pricing, and ensure Medicare beneficiaries have access to affordable therapies. To achieve its goals, the IRA’s negotiation program depends on widespread dispenser participation so that beneficiaries can access negotiated prices through the existing healthcare delivery system without disruption or provider attrition. As CMS itself has noted in program guidance, implementing a timely, administrable, and sustainable mechanism to deliver the </w:t>
      </w:r>
      <w:r w:rsidR="0356DCC8" w:rsidRPr="006C0CE3">
        <w:rPr>
          <w:rFonts w:asciiTheme="minorHAnsi" w:eastAsiaTheme="minorEastAsia" w:hAnsiTheme="minorHAnsi" w:cstheme="minorBidi"/>
          <w:noProof/>
          <w:sz w:val="22"/>
          <w:szCs w:val="22"/>
        </w:rPr>
        <w:t>MFP</w:t>
      </w:r>
      <w:r w:rsidRPr="006C0CE3">
        <w:rPr>
          <w:rFonts w:asciiTheme="minorHAnsi" w:eastAsiaTheme="minorEastAsia" w:hAnsiTheme="minorHAnsi" w:cstheme="minorBidi"/>
          <w:noProof/>
          <w:sz w:val="22"/>
          <w:szCs w:val="22"/>
        </w:rPr>
        <w:t xml:space="preserve"> to end users is critical to avoiding access barriers.</w:t>
      </w:r>
      <w:r w:rsidRPr="006C0CE3">
        <w:rPr>
          <w:rFonts w:asciiTheme="minorHAnsi" w:eastAsiaTheme="minorEastAsia" w:hAnsiTheme="minorHAnsi" w:cstheme="minorBidi"/>
          <w:noProof/>
          <w:sz w:val="22"/>
          <w:szCs w:val="22"/>
          <w:vertAlign w:val="superscript"/>
        </w:rPr>
        <w:footnoteReference w:id="7"/>
      </w:r>
      <w:r w:rsidRPr="006C0CE3">
        <w:rPr>
          <w:rFonts w:asciiTheme="minorHAnsi" w:eastAsiaTheme="minorEastAsia" w:hAnsiTheme="minorHAnsi" w:cstheme="minorBidi"/>
          <w:noProof/>
          <w:sz w:val="22"/>
          <w:szCs w:val="22"/>
        </w:rPr>
        <w:t xml:space="preserve"> This model presumes seamless integration of the negotiated pricing for all stakeholders.</w:t>
      </w:r>
    </w:p>
    <w:p w14:paraId="25900CAF" w14:textId="77777777" w:rsidR="00973EBE" w:rsidRPr="006C0CE3" w:rsidRDefault="00973EBE" w:rsidP="768556BD">
      <w:pPr>
        <w:rPr>
          <w:rFonts w:asciiTheme="minorHAnsi" w:eastAsiaTheme="minorEastAsia" w:hAnsiTheme="minorHAnsi" w:cstheme="minorBidi"/>
          <w:noProof/>
          <w:sz w:val="22"/>
          <w:szCs w:val="22"/>
        </w:rPr>
      </w:pPr>
    </w:p>
    <w:p w14:paraId="658927D3" w14:textId="77777777" w:rsidR="00973EBE" w:rsidRPr="006C0CE3" w:rsidRDefault="00973EBE" w:rsidP="768556BD">
      <w:pPr>
        <w:numPr>
          <w:ilvl w:val="0"/>
          <w:numId w:val="4"/>
        </w:numPr>
        <w:rPr>
          <w:rFonts w:asciiTheme="minorHAnsi" w:eastAsiaTheme="minorEastAsia" w:hAnsiTheme="minorHAnsi" w:cstheme="minorBidi"/>
          <w:b/>
          <w:bCs/>
          <w:sz w:val="22"/>
          <w:szCs w:val="22"/>
        </w:rPr>
      </w:pPr>
      <w:r w:rsidRPr="006C0CE3">
        <w:rPr>
          <w:rFonts w:asciiTheme="minorHAnsi" w:eastAsiaTheme="minorEastAsia" w:hAnsiTheme="minorHAnsi" w:cstheme="minorBidi"/>
          <w:b/>
          <w:bCs/>
          <w:sz w:val="22"/>
          <w:szCs w:val="22"/>
        </w:rPr>
        <w:t xml:space="preserve">The Rebate Model Threatens Dispenser Participation and Patient Access </w:t>
      </w:r>
    </w:p>
    <w:p w14:paraId="04A079AE" w14:textId="3E052933" w:rsidR="42AC5F16" w:rsidRPr="006C0CE3" w:rsidRDefault="42AC5F16" w:rsidP="768556BD">
      <w:pPr>
        <w:ind w:left="720"/>
        <w:rPr>
          <w:rFonts w:asciiTheme="minorHAnsi" w:eastAsiaTheme="minorEastAsia" w:hAnsiTheme="minorHAnsi" w:cstheme="minorBidi"/>
          <w:b/>
          <w:bCs/>
          <w:noProof/>
          <w:sz w:val="22"/>
          <w:szCs w:val="22"/>
        </w:rPr>
      </w:pPr>
    </w:p>
    <w:p w14:paraId="59C9C3EF" w14:textId="77777777"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The manufacturer-preferred system of rebates frustrates that design. Allowing manufacturers to satisfy their statutory obligations through retrospective rebates introduces a fragmented, administratively complex process that delays application of the negotiated price and forces dispensers to assume up-front costs. Rather than a single, streamlined approach, the rebate model generates dozens of manufacturer-specific payment procedures, each with its own reporting requirements, timeframes, and reimbursement pathways. That is nothing but additional red tape designed to increase complexity and will result in decreased provider participation.</w:t>
      </w:r>
    </w:p>
    <w:p w14:paraId="0CF12B65" w14:textId="77777777" w:rsidR="00973EBE" w:rsidRPr="006C0CE3" w:rsidRDefault="00973EBE" w:rsidP="768556BD">
      <w:pPr>
        <w:rPr>
          <w:rFonts w:asciiTheme="minorHAnsi" w:eastAsiaTheme="minorEastAsia" w:hAnsiTheme="minorHAnsi" w:cstheme="minorBidi"/>
          <w:noProof/>
          <w:sz w:val="22"/>
          <w:szCs w:val="22"/>
        </w:rPr>
      </w:pPr>
    </w:p>
    <w:p w14:paraId="2C6E9273" w14:textId="77777777"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 xml:space="preserve">In contrast, a </w:t>
      </w:r>
      <w:r w:rsidRPr="006C0CE3">
        <w:rPr>
          <w:rFonts w:asciiTheme="minorHAnsi" w:eastAsiaTheme="minorEastAsia" w:hAnsiTheme="minorHAnsi" w:cstheme="minorBidi"/>
          <w:b/>
          <w:bCs/>
          <w:noProof/>
          <w:sz w:val="22"/>
          <w:szCs w:val="22"/>
        </w:rPr>
        <w:t>standardized, prospective discount model</w:t>
      </w:r>
      <w:r w:rsidRPr="006C0CE3">
        <w:rPr>
          <w:rFonts w:asciiTheme="minorHAnsi" w:eastAsiaTheme="minorEastAsia" w:hAnsiTheme="minorHAnsi" w:cstheme="minorBidi"/>
          <w:noProof/>
          <w:sz w:val="22"/>
          <w:szCs w:val="22"/>
        </w:rPr>
        <w:t xml:space="preserve"> will preserve beneficiary access, limit administrative burden, and promote statutory compliance—aligning implementation with the law’s underlying structure and intent.</w:t>
      </w:r>
    </w:p>
    <w:p w14:paraId="616F7FE5" w14:textId="77777777" w:rsidR="00973EBE" w:rsidRPr="006C0CE3" w:rsidRDefault="00973EBE" w:rsidP="768556BD">
      <w:pPr>
        <w:rPr>
          <w:rFonts w:asciiTheme="minorHAnsi" w:eastAsiaTheme="minorEastAsia" w:hAnsiTheme="minorHAnsi" w:cstheme="minorBidi"/>
          <w:noProof/>
          <w:sz w:val="22"/>
          <w:szCs w:val="22"/>
        </w:rPr>
      </w:pPr>
    </w:p>
    <w:p w14:paraId="28F50B76" w14:textId="77777777"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The IRA’s primary drug pricing policy objective is to provide access to affordable prescription drugs to Medicare beneficiaries. As the agency has noted, “[t]he law provides meaningful financial relief for millions of people with Medicare by improving access to affordable treatments and strengthening Medicare.”</w:t>
      </w:r>
      <w:r w:rsidRPr="006C0CE3">
        <w:rPr>
          <w:rFonts w:asciiTheme="minorHAnsi" w:eastAsiaTheme="minorEastAsia" w:hAnsiTheme="minorHAnsi" w:cstheme="minorBidi"/>
          <w:noProof/>
          <w:sz w:val="22"/>
          <w:szCs w:val="22"/>
          <w:vertAlign w:val="superscript"/>
        </w:rPr>
        <w:footnoteReference w:id="8"/>
      </w:r>
      <w:r w:rsidRPr="006C0CE3">
        <w:rPr>
          <w:rFonts w:asciiTheme="minorHAnsi" w:eastAsiaTheme="minorEastAsia" w:hAnsiTheme="minorHAnsi" w:cstheme="minorBidi"/>
          <w:noProof/>
          <w:sz w:val="22"/>
          <w:szCs w:val="22"/>
        </w:rPr>
        <w:t xml:space="preserve"> But allowing manufacturers to require that dispensing entities seek retrospective </w:t>
      </w:r>
      <w:r w:rsidRPr="006C0CE3">
        <w:rPr>
          <w:rFonts w:asciiTheme="minorHAnsi" w:eastAsiaTheme="minorEastAsia" w:hAnsiTheme="minorHAnsi" w:cstheme="minorBidi"/>
          <w:noProof/>
          <w:sz w:val="22"/>
          <w:szCs w:val="22"/>
        </w:rPr>
        <w:lastRenderedPageBreak/>
        <w:t xml:space="preserve">reimbursement to recover discounts jeopardizes beneficiary access to these affordable drug prices. The retrospective rebate approach imposes a financial and operational burden on dispensing providers that is incompatible with the goals of the IRA. </w:t>
      </w:r>
    </w:p>
    <w:p w14:paraId="0FCEC456" w14:textId="77777777" w:rsidR="00973EBE" w:rsidRPr="006C0CE3" w:rsidRDefault="00973EBE" w:rsidP="768556BD">
      <w:pPr>
        <w:rPr>
          <w:rFonts w:asciiTheme="minorHAnsi" w:eastAsiaTheme="minorEastAsia" w:hAnsiTheme="minorHAnsi" w:cstheme="minorBidi"/>
          <w:noProof/>
          <w:sz w:val="22"/>
          <w:szCs w:val="22"/>
        </w:rPr>
      </w:pPr>
    </w:p>
    <w:p w14:paraId="5BC584DC" w14:textId="77777777"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The manufacturer-preferred system of rebates drives down provider participation, particularly among rural, safety-net, and community-based providers operating on thin margins. Inconsistent reimbursement timelines jeopardize liquidity and introduce substantial financial risk. For smaller providers, that risk is too great to bear.</w:t>
      </w:r>
    </w:p>
    <w:p w14:paraId="0EB4E4A3" w14:textId="77777777" w:rsidR="00973EBE" w:rsidRPr="006C0CE3" w:rsidRDefault="00973EBE" w:rsidP="768556BD">
      <w:pPr>
        <w:rPr>
          <w:rFonts w:asciiTheme="minorHAnsi" w:eastAsiaTheme="minorEastAsia" w:hAnsiTheme="minorHAnsi" w:cstheme="minorBidi"/>
          <w:noProof/>
          <w:sz w:val="22"/>
          <w:szCs w:val="22"/>
        </w:rPr>
      </w:pPr>
    </w:p>
    <w:p w14:paraId="4386C157" w14:textId="365001C0" w:rsidR="00973EBE" w:rsidRPr="006C0CE3" w:rsidRDefault="00973EBE" w:rsidP="768556BD">
      <w:pPr>
        <w:rPr>
          <w:rFonts w:asciiTheme="minorHAnsi" w:eastAsiaTheme="minorEastAsia" w:hAnsiTheme="minorHAnsi" w:cstheme="minorBidi"/>
          <w:sz w:val="22"/>
          <w:szCs w:val="22"/>
        </w:rPr>
      </w:pPr>
      <w:r w:rsidRPr="006C0CE3">
        <w:rPr>
          <w:rFonts w:asciiTheme="minorHAnsi" w:eastAsiaTheme="minorEastAsia" w:hAnsiTheme="minorHAnsi" w:cstheme="minorBidi"/>
          <w:sz w:val="22"/>
          <w:szCs w:val="22"/>
        </w:rPr>
        <w:t>A recent analysis published by the National Community Pharmacists Association (NCPA) demonstrates the significant financial risk facing pharmacies under the manufacturer-preferred system of rebates, including payment delays resulting in $11,000 weekly cashflow loss and $43,000 annual revenue loss.</w:t>
      </w:r>
      <w:r w:rsidRPr="006C0CE3">
        <w:rPr>
          <w:rFonts w:asciiTheme="minorHAnsi" w:eastAsiaTheme="minorEastAsia" w:hAnsiTheme="minorHAnsi" w:cstheme="minorBidi"/>
          <w:sz w:val="22"/>
          <w:szCs w:val="22"/>
          <w:vertAlign w:val="superscript"/>
        </w:rPr>
        <w:footnoteReference w:id="9"/>
      </w:r>
      <w:r w:rsidRPr="006C0CE3">
        <w:rPr>
          <w:rFonts w:asciiTheme="minorHAnsi" w:eastAsiaTheme="minorEastAsia" w:hAnsiTheme="minorHAnsi" w:cstheme="minorBidi"/>
          <w:sz w:val="22"/>
          <w:szCs w:val="22"/>
        </w:rPr>
        <w:t xml:space="preserve"> Perhaps most concerning, a survey of NCPA members found that 93.2</w:t>
      </w:r>
      <w:r w:rsidR="55C2816B" w:rsidRPr="006C0CE3">
        <w:rPr>
          <w:rFonts w:asciiTheme="minorHAnsi" w:eastAsiaTheme="minorEastAsia" w:hAnsiTheme="minorHAnsi" w:cstheme="minorBidi"/>
          <w:sz w:val="22"/>
          <w:szCs w:val="22"/>
        </w:rPr>
        <w:t>%</w:t>
      </w:r>
      <w:r w:rsidRPr="006C0CE3">
        <w:rPr>
          <w:rFonts w:asciiTheme="minorHAnsi" w:eastAsiaTheme="minorEastAsia" w:hAnsiTheme="minorHAnsi" w:cstheme="minorBidi"/>
          <w:sz w:val="22"/>
          <w:szCs w:val="22"/>
        </w:rPr>
        <w:t xml:space="preserve"> of independent pharmacists are considering not stocking, or have already decided not to stock, one or more of the first ten Part D drugs selected for price setting.</w:t>
      </w:r>
      <w:r w:rsidRPr="006C0CE3">
        <w:rPr>
          <w:rFonts w:asciiTheme="minorHAnsi" w:eastAsiaTheme="minorEastAsia" w:hAnsiTheme="minorHAnsi" w:cstheme="minorBidi"/>
          <w:sz w:val="22"/>
          <w:szCs w:val="22"/>
          <w:vertAlign w:val="superscript"/>
        </w:rPr>
        <w:footnoteReference w:id="10"/>
      </w:r>
      <w:r w:rsidRPr="006C0CE3">
        <w:rPr>
          <w:rFonts w:asciiTheme="minorHAnsi" w:eastAsiaTheme="minorEastAsia" w:hAnsiTheme="minorHAnsi" w:cstheme="minorBidi"/>
          <w:sz w:val="22"/>
          <w:szCs w:val="22"/>
        </w:rPr>
        <w:t xml:space="preserve"> Those decisions are the logical consequence of </w:t>
      </w:r>
      <w:r w:rsidR="00474565" w:rsidRPr="006C0CE3">
        <w:rPr>
          <w:rFonts w:asciiTheme="minorHAnsi" w:eastAsiaTheme="minorEastAsia" w:hAnsiTheme="minorHAnsi" w:cstheme="minorBidi"/>
          <w:sz w:val="22"/>
          <w:szCs w:val="22"/>
        </w:rPr>
        <w:t xml:space="preserve">CMS guidance </w:t>
      </w:r>
      <w:r w:rsidRPr="006C0CE3">
        <w:rPr>
          <w:rFonts w:asciiTheme="minorHAnsi" w:eastAsiaTheme="minorEastAsia" w:hAnsiTheme="minorHAnsi" w:cstheme="minorBidi"/>
          <w:sz w:val="22"/>
          <w:szCs w:val="22"/>
        </w:rPr>
        <w:t xml:space="preserve">prioritizing manufacturers where the IRA does not. And ultimately, Medicare beneficiaries will be denied the IRA’s full benefit. </w:t>
      </w:r>
    </w:p>
    <w:p w14:paraId="2DD90652" w14:textId="77777777" w:rsidR="00973EBE" w:rsidRPr="006C0CE3" w:rsidRDefault="00973EBE" w:rsidP="768556BD">
      <w:pPr>
        <w:rPr>
          <w:rFonts w:asciiTheme="minorHAnsi" w:eastAsiaTheme="minorEastAsia" w:hAnsiTheme="minorHAnsi" w:cstheme="minorBidi"/>
          <w:noProof/>
          <w:sz w:val="22"/>
          <w:szCs w:val="22"/>
        </w:rPr>
      </w:pPr>
    </w:p>
    <w:p w14:paraId="23B40325" w14:textId="77777777" w:rsidR="00973EBE" w:rsidRPr="006C0CE3" w:rsidRDefault="00973EBE" w:rsidP="768556BD">
      <w:pPr>
        <w:rPr>
          <w:rFonts w:asciiTheme="minorHAnsi" w:eastAsiaTheme="minorEastAsia" w:hAnsiTheme="minorHAnsi" w:cstheme="minorBidi"/>
          <w:b/>
          <w:bCs/>
          <w:noProof/>
          <w:sz w:val="22"/>
          <w:szCs w:val="22"/>
        </w:rPr>
      </w:pPr>
      <w:r w:rsidRPr="006C0CE3">
        <w:rPr>
          <w:rFonts w:asciiTheme="minorHAnsi" w:eastAsiaTheme="minorEastAsia" w:hAnsiTheme="minorHAnsi" w:cstheme="minorBidi"/>
          <w:b/>
          <w:bCs/>
          <w:noProof/>
          <w:sz w:val="22"/>
          <w:szCs w:val="22"/>
        </w:rPr>
        <w:t>Conclusion</w:t>
      </w:r>
    </w:p>
    <w:p w14:paraId="5EE53AD6" w14:textId="77777777" w:rsidR="00973EBE" w:rsidRPr="006C0CE3" w:rsidRDefault="00973EBE" w:rsidP="768556BD">
      <w:pPr>
        <w:rPr>
          <w:rFonts w:asciiTheme="minorHAnsi" w:eastAsiaTheme="minorEastAsia" w:hAnsiTheme="minorHAnsi" w:cstheme="minorBidi"/>
          <w:b/>
          <w:bCs/>
          <w:noProof/>
          <w:sz w:val="22"/>
          <w:szCs w:val="22"/>
        </w:rPr>
      </w:pPr>
    </w:p>
    <w:p w14:paraId="4BE9626E" w14:textId="77777777"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 xml:space="preserve">The manufacturer-preferred system of rebates jeopardizes provider stability, undermines patient access, and exceeds the agency’s statutory authority. The IRA does not authorize CMS to allow manufacturers to shift the cost burden of the negotiated prices to dispensers. </w:t>
      </w:r>
    </w:p>
    <w:p w14:paraId="2900905B" w14:textId="77777777" w:rsidR="00973EBE" w:rsidRPr="006C0CE3" w:rsidRDefault="00973EBE" w:rsidP="768556BD">
      <w:pPr>
        <w:rPr>
          <w:rFonts w:asciiTheme="minorHAnsi" w:eastAsiaTheme="minorEastAsia" w:hAnsiTheme="minorHAnsi" w:cstheme="minorBidi"/>
          <w:noProof/>
          <w:sz w:val="22"/>
          <w:szCs w:val="22"/>
        </w:rPr>
      </w:pPr>
    </w:p>
    <w:p w14:paraId="5371F472" w14:textId="2B0E2870"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 xml:space="preserve">Allowing manufacturers to effectuate negotiated pricing through a rebate rather than a singular </w:t>
      </w:r>
      <w:r w:rsidRPr="006C0CE3">
        <w:rPr>
          <w:rFonts w:asciiTheme="minorHAnsi" w:eastAsiaTheme="minorEastAsia" w:hAnsiTheme="minorHAnsi" w:cstheme="minorBidi"/>
          <w:b/>
          <w:bCs/>
          <w:noProof/>
          <w:sz w:val="22"/>
          <w:szCs w:val="22"/>
        </w:rPr>
        <w:t xml:space="preserve">manufacturer-provided upfront discounted price </w:t>
      </w:r>
      <w:r w:rsidRPr="006C0CE3">
        <w:rPr>
          <w:rFonts w:asciiTheme="minorHAnsi" w:eastAsiaTheme="minorEastAsia" w:hAnsiTheme="minorHAnsi" w:cstheme="minorBidi"/>
          <w:noProof/>
          <w:sz w:val="22"/>
          <w:szCs w:val="22"/>
        </w:rPr>
        <w:t xml:space="preserve">contradicts not only the plain text and structure of the IRA, but also with the </w:t>
      </w:r>
      <w:r w:rsidR="78121DD9" w:rsidRPr="006C0CE3">
        <w:rPr>
          <w:rFonts w:asciiTheme="minorHAnsi" w:eastAsiaTheme="minorEastAsia" w:hAnsiTheme="minorHAnsi" w:cstheme="minorBidi"/>
          <w:noProof/>
          <w:sz w:val="22"/>
          <w:szCs w:val="22"/>
        </w:rPr>
        <w:t>a</w:t>
      </w:r>
      <w:r w:rsidRPr="006C0CE3">
        <w:rPr>
          <w:rFonts w:asciiTheme="minorHAnsi" w:eastAsiaTheme="minorEastAsia" w:hAnsiTheme="minorHAnsi" w:cstheme="minorBidi"/>
          <w:noProof/>
          <w:sz w:val="22"/>
          <w:szCs w:val="22"/>
        </w:rPr>
        <w:t xml:space="preserve">dministration’s broader policy priorities, including regulatory simplification under the Executive Order 14192 and the commitment to a transparent and efficient prescription drug value chain set forth in President Trump’s Executive Order 14273. An upfront discount represents the default method under comparable federal programs, aligns with the IRA’s legislative design, eliminates excessive administrative processes, supports provider participation, and ensures the sustainability of the </w:t>
      </w:r>
      <w:r w:rsidR="7E1BCC52" w:rsidRPr="006C0CE3">
        <w:rPr>
          <w:rFonts w:asciiTheme="minorHAnsi" w:eastAsiaTheme="minorEastAsia" w:hAnsiTheme="minorHAnsi" w:cstheme="minorBidi"/>
          <w:noProof/>
          <w:sz w:val="22"/>
          <w:szCs w:val="22"/>
        </w:rPr>
        <w:t>n</w:t>
      </w:r>
      <w:r w:rsidRPr="006C0CE3">
        <w:rPr>
          <w:rFonts w:asciiTheme="minorHAnsi" w:eastAsiaTheme="minorEastAsia" w:hAnsiTheme="minorHAnsi" w:cstheme="minorBidi"/>
          <w:noProof/>
          <w:sz w:val="22"/>
          <w:szCs w:val="22"/>
        </w:rPr>
        <w:t xml:space="preserve">egotiation </w:t>
      </w:r>
      <w:r w:rsidR="5CDFFDAB" w:rsidRPr="006C0CE3">
        <w:rPr>
          <w:rFonts w:asciiTheme="minorHAnsi" w:eastAsiaTheme="minorEastAsia" w:hAnsiTheme="minorHAnsi" w:cstheme="minorBidi"/>
          <w:noProof/>
          <w:sz w:val="22"/>
          <w:szCs w:val="22"/>
        </w:rPr>
        <w:t>p</w:t>
      </w:r>
      <w:r w:rsidRPr="006C0CE3">
        <w:rPr>
          <w:rFonts w:asciiTheme="minorHAnsi" w:eastAsiaTheme="minorEastAsia" w:hAnsiTheme="minorHAnsi" w:cstheme="minorBidi"/>
          <w:noProof/>
          <w:sz w:val="22"/>
          <w:szCs w:val="22"/>
        </w:rPr>
        <w:t>rogram.</w:t>
      </w:r>
    </w:p>
    <w:p w14:paraId="69CFD513" w14:textId="77777777" w:rsidR="00973EBE" w:rsidRPr="006C0CE3" w:rsidRDefault="00973EBE" w:rsidP="768556BD">
      <w:pPr>
        <w:rPr>
          <w:rFonts w:asciiTheme="minorHAnsi" w:eastAsiaTheme="minorEastAsia" w:hAnsiTheme="minorHAnsi" w:cstheme="minorBidi"/>
          <w:noProof/>
          <w:sz w:val="22"/>
          <w:szCs w:val="22"/>
        </w:rPr>
      </w:pPr>
    </w:p>
    <w:p w14:paraId="52D8FE78" w14:textId="16779911" w:rsidR="0057385F"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ASHP</w:t>
      </w:r>
      <w:r w:rsidR="6EC0A52F" w:rsidRPr="006C0CE3">
        <w:rPr>
          <w:rFonts w:asciiTheme="minorHAnsi" w:eastAsiaTheme="minorEastAsia" w:hAnsiTheme="minorHAnsi" w:cstheme="minorBidi"/>
          <w:noProof/>
          <w:sz w:val="22"/>
          <w:szCs w:val="22"/>
        </w:rPr>
        <w:t xml:space="preserve">, HOPA, NPhA, </w:t>
      </w:r>
      <w:r w:rsidR="00474565" w:rsidRPr="006C0CE3">
        <w:rPr>
          <w:rFonts w:asciiTheme="minorHAnsi" w:eastAsiaTheme="minorEastAsia" w:hAnsiTheme="minorHAnsi" w:cstheme="minorBidi"/>
          <w:noProof/>
          <w:sz w:val="22"/>
          <w:szCs w:val="22"/>
        </w:rPr>
        <w:t xml:space="preserve">and state pharmacy associations across the country </w:t>
      </w:r>
      <w:r w:rsidRPr="006C0CE3">
        <w:rPr>
          <w:rFonts w:asciiTheme="minorHAnsi" w:eastAsiaTheme="minorEastAsia" w:hAnsiTheme="minorHAnsi" w:cstheme="minorBidi"/>
          <w:noProof/>
          <w:sz w:val="22"/>
          <w:szCs w:val="22"/>
        </w:rPr>
        <w:t xml:space="preserve">strongly urge CMS to revise its guidance and require a uniform, prospective discount model. </w:t>
      </w:r>
    </w:p>
    <w:p w14:paraId="48178474" w14:textId="77777777" w:rsidR="0057385F" w:rsidRDefault="0057385F" w:rsidP="768556BD">
      <w:pPr>
        <w:rPr>
          <w:rFonts w:asciiTheme="minorHAnsi" w:eastAsiaTheme="minorEastAsia" w:hAnsiTheme="minorHAnsi" w:cstheme="minorBidi"/>
          <w:noProof/>
          <w:sz w:val="22"/>
          <w:szCs w:val="22"/>
        </w:rPr>
      </w:pPr>
    </w:p>
    <w:p w14:paraId="789EB182" w14:textId="0537E298" w:rsidR="00973EBE" w:rsidRPr="006C0CE3" w:rsidRDefault="00BB0899"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 xml:space="preserve">ASHP is the largest association of pharmacy professionals in the United States, representing 60,000 pharmacists, student pharmacists, and pharmacy technicians in all patient care settings, including hospitals, ambulatory clinics, and health-system community pharmacies. </w:t>
      </w:r>
    </w:p>
    <w:p w14:paraId="7E8CC457" w14:textId="12177C33" w:rsidR="00973EBE" w:rsidRPr="006C0CE3" w:rsidRDefault="00973EBE" w:rsidP="768556BD">
      <w:pPr>
        <w:rPr>
          <w:rFonts w:asciiTheme="minorHAnsi" w:eastAsiaTheme="minorEastAsia" w:hAnsiTheme="minorHAnsi" w:cstheme="minorBidi"/>
          <w:noProof/>
          <w:color w:val="000000" w:themeColor="text1"/>
          <w:sz w:val="22"/>
          <w:szCs w:val="22"/>
        </w:rPr>
      </w:pPr>
    </w:p>
    <w:p w14:paraId="07462149" w14:textId="59CCA5CA" w:rsidR="00973EBE" w:rsidRPr="006C0CE3" w:rsidRDefault="6F28B773" w:rsidP="768556BD">
      <w:pPr>
        <w:rPr>
          <w:rFonts w:asciiTheme="minorHAnsi" w:eastAsiaTheme="minorEastAsia" w:hAnsiTheme="minorHAnsi" w:cstheme="minorBidi"/>
          <w:noProof/>
          <w:color w:val="000000" w:themeColor="text1"/>
          <w:sz w:val="22"/>
          <w:szCs w:val="22"/>
        </w:rPr>
      </w:pPr>
      <w:r w:rsidRPr="006C0CE3">
        <w:rPr>
          <w:rFonts w:asciiTheme="minorHAnsi" w:eastAsiaTheme="minorEastAsia" w:hAnsiTheme="minorHAnsi" w:cstheme="minorBidi"/>
          <w:noProof/>
          <w:color w:val="000000" w:themeColor="text1"/>
          <w:sz w:val="22"/>
          <w:szCs w:val="22"/>
        </w:rPr>
        <w:t xml:space="preserve">The Hematology/Oncology Pharmacy Association (HOPA) supports hematology/oncology pharmacy professionals and promotes the role of the pharmacist in collaborative cancer care. Founded in 2004, </w:t>
      </w:r>
      <w:r w:rsidRPr="006C0CE3">
        <w:rPr>
          <w:rFonts w:asciiTheme="minorHAnsi" w:eastAsiaTheme="minorEastAsia" w:hAnsiTheme="minorHAnsi" w:cstheme="minorBidi"/>
          <w:noProof/>
          <w:color w:val="000000" w:themeColor="text1"/>
          <w:sz w:val="22"/>
          <w:szCs w:val="22"/>
        </w:rPr>
        <w:lastRenderedPageBreak/>
        <w:t>HOPA provides crucial education, networking, and advancement opportunities frequently sought by pharmacists, pharmacy interns, residents, fellows, students, technicians, researchers, and administrators who specialize in hematology/oncology pharmacy.</w:t>
      </w:r>
    </w:p>
    <w:p w14:paraId="7BD694DD" w14:textId="4D681664" w:rsidR="768556BD" w:rsidRPr="006C0CE3" w:rsidRDefault="768556BD" w:rsidP="768556BD">
      <w:pPr>
        <w:rPr>
          <w:rFonts w:asciiTheme="minorHAnsi" w:eastAsiaTheme="minorEastAsia" w:hAnsiTheme="minorHAnsi" w:cstheme="minorBidi"/>
          <w:noProof/>
          <w:color w:val="000000" w:themeColor="text1"/>
          <w:sz w:val="22"/>
          <w:szCs w:val="22"/>
        </w:rPr>
      </w:pPr>
    </w:p>
    <w:p w14:paraId="2B1323F8" w14:textId="306252EF" w:rsidR="5290E8AD" w:rsidRPr="006C0CE3" w:rsidRDefault="5290E8AD"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color w:val="222222"/>
          <w:sz w:val="22"/>
          <w:szCs w:val="22"/>
        </w:rPr>
        <w:t>The National Pharmaceutical Association (NPhA), established in 1947, is dedicated to representing the views and ideals of minority pharmacists on critical issues affecting healthcare and pharmacy, promoting racial and health equity, as well as advancing the standards of pharmaceutical care among all practitioners.</w:t>
      </w:r>
    </w:p>
    <w:p w14:paraId="1674929E" w14:textId="5871D7A3" w:rsidR="768556BD" w:rsidRPr="006C0CE3" w:rsidRDefault="768556BD" w:rsidP="768556BD">
      <w:pPr>
        <w:rPr>
          <w:rFonts w:asciiTheme="minorHAnsi" w:eastAsiaTheme="minorEastAsia" w:hAnsiTheme="minorHAnsi" w:cstheme="minorBidi"/>
          <w:noProof/>
          <w:color w:val="000000" w:themeColor="text1"/>
          <w:sz w:val="22"/>
          <w:szCs w:val="22"/>
        </w:rPr>
      </w:pPr>
    </w:p>
    <w:p w14:paraId="2A18DF55" w14:textId="756A28AB" w:rsidR="00973EBE" w:rsidRPr="00973EBE" w:rsidRDefault="5290E8AD"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Collectively, our members are on the front lines of delivering affordable and clinically appropriate medication to the American people.</w:t>
      </w:r>
    </w:p>
    <w:p w14:paraId="1369F1C1" w14:textId="0D136644" w:rsidR="768556BD" w:rsidRPr="006C0CE3" w:rsidRDefault="768556BD" w:rsidP="768556BD">
      <w:pPr>
        <w:rPr>
          <w:rFonts w:asciiTheme="minorHAnsi" w:eastAsiaTheme="minorEastAsia" w:hAnsiTheme="minorHAnsi" w:cstheme="minorBidi"/>
          <w:noProof/>
          <w:sz w:val="22"/>
          <w:szCs w:val="22"/>
        </w:rPr>
      </w:pPr>
    </w:p>
    <w:p w14:paraId="55BB9520" w14:textId="316BBEA9" w:rsidR="00973EBE" w:rsidRPr="006C0CE3" w:rsidRDefault="613F428F" w:rsidP="768556BD">
      <w:pPr>
        <w:rPr>
          <w:rFonts w:asciiTheme="minorHAnsi" w:eastAsiaTheme="minorEastAsia" w:hAnsiTheme="minorHAnsi" w:cstheme="minorBidi"/>
          <w:sz w:val="22"/>
          <w:szCs w:val="22"/>
        </w:rPr>
      </w:pPr>
      <w:r w:rsidRPr="006C0CE3">
        <w:rPr>
          <w:rFonts w:asciiTheme="minorHAnsi" w:eastAsiaTheme="minorEastAsia" w:hAnsiTheme="minorHAnsi" w:cstheme="minorBidi"/>
          <w:sz w:val="22"/>
          <w:szCs w:val="22"/>
        </w:rPr>
        <w:t>We stand</w:t>
      </w:r>
      <w:r w:rsidR="00973EBE" w:rsidRPr="006C0CE3">
        <w:rPr>
          <w:rFonts w:asciiTheme="minorHAnsi" w:eastAsiaTheme="minorEastAsia" w:hAnsiTheme="minorHAnsi" w:cstheme="minorBidi"/>
          <w:sz w:val="22"/>
          <w:szCs w:val="22"/>
        </w:rPr>
        <w:t xml:space="preserve"> ready to support CMS in effectuating this policy shift and ensuring the successful implementation of the IRA’s reforms, as well as the </w:t>
      </w:r>
      <w:r w:rsidR="67C6BE66" w:rsidRPr="006C0CE3">
        <w:rPr>
          <w:rFonts w:asciiTheme="minorHAnsi" w:eastAsiaTheme="minorEastAsia" w:hAnsiTheme="minorHAnsi" w:cstheme="minorBidi"/>
          <w:sz w:val="22"/>
          <w:szCs w:val="22"/>
        </w:rPr>
        <w:t>a</w:t>
      </w:r>
      <w:r w:rsidR="00973EBE" w:rsidRPr="006C0CE3">
        <w:rPr>
          <w:rFonts w:asciiTheme="minorHAnsi" w:eastAsiaTheme="minorEastAsia" w:hAnsiTheme="minorHAnsi" w:cstheme="minorBidi"/>
          <w:sz w:val="22"/>
          <w:szCs w:val="22"/>
        </w:rPr>
        <w:t xml:space="preserve">dministration’s drug pricing policy goals. Please do not hesitate to contact </w:t>
      </w:r>
      <w:r w:rsidR="1507D131" w:rsidRPr="006C0CE3">
        <w:rPr>
          <w:rFonts w:asciiTheme="minorHAnsi" w:eastAsiaTheme="minorEastAsia" w:hAnsiTheme="minorHAnsi" w:cstheme="minorBidi"/>
          <w:noProof/>
          <w:sz w:val="22"/>
          <w:szCs w:val="22"/>
        </w:rPr>
        <w:t>Jillanne Schulte Wall</w:t>
      </w:r>
      <w:r w:rsidR="00973EBE" w:rsidRPr="006C0CE3">
        <w:rPr>
          <w:rFonts w:asciiTheme="minorHAnsi" w:eastAsiaTheme="minorEastAsia" w:hAnsiTheme="minorHAnsi" w:cstheme="minorBidi"/>
          <w:sz w:val="22"/>
          <w:szCs w:val="22"/>
        </w:rPr>
        <w:t xml:space="preserve"> at 301-664-8698 or </w:t>
      </w:r>
      <w:r w:rsidR="00973EBE" w:rsidRPr="006C0CE3">
        <w:rPr>
          <w:rFonts w:asciiTheme="minorHAnsi" w:eastAsiaTheme="minorEastAsia" w:hAnsiTheme="minorHAnsi" w:cstheme="minorBidi"/>
          <w:sz w:val="22"/>
          <w:szCs w:val="22"/>
          <w:u w:val="single"/>
        </w:rPr>
        <w:t>jschulte@ashp.org</w:t>
      </w:r>
      <w:r w:rsidR="00973EBE" w:rsidRPr="006C0CE3">
        <w:rPr>
          <w:rFonts w:asciiTheme="minorHAnsi" w:eastAsiaTheme="minorEastAsia" w:hAnsiTheme="minorHAnsi" w:cstheme="minorBidi"/>
          <w:sz w:val="22"/>
          <w:szCs w:val="22"/>
        </w:rPr>
        <w:t xml:space="preserve"> if </w:t>
      </w:r>
      <w:r w:rsidR="0CF63AB9" w:rsidRPr="006C0CE3">
        <w:rPr>
          <w:rFonts w:asciiTheme="minorHAnsi" w:eastAsiaTheme="minorEastAsia" w:hAnsiTheme="minorHAnsi" w:cstheme="minorBidi"/>
          <w:sz w:val="22"/>
          <w:szCs w:val="22"/>
        </w:rPr>
        <w:t>we</w:t>
      </w:r>
      <w:r w:rsidR="00973EBE" w:rsidRPr="006C0CE3">
        <w:rPr>
          <w:rFonts w:asciiTheme="minorHAnsi" w:eastAsiaTheme="minorEastAsia" w:hAnsiTheme="minorHAnsi" w:cstheme="minorBidi"/>
          <w:sz w:val="22"/>
          <w:szCs w:val="22"/>
        </w:rPr>
        <w:t xml:space="preserve"> can provide any further information or assist the agency in any way.</w:t>
      </w:r>
    </w:p>
    <w:p w14:paraId="37F10112" w14:textId="77777777" w:rsidR="00973EBE" w:rsidRPr="006C0CE3" w:rsidRDefault="00973EBE" w:rsidP="768556BD">
      <w:pPr>
        <w:rPr>
          <w:rFonts w:asciiTheme="minorHAnsi" w:eastAsiaTheme="minorEastAsia" w:hAnsiTheme="minorHAnsi" w:cstheme="minorBidi"/>
          <w:noProof/>
          <w:sz w:val="22"/>
          <w:szCs w:val="22"/>
        </w:rPr>
      </w:pPr>
    </w:p>
    <w:p w14:paraId="552FDA8D" w14:textId="77777777"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Sincerely,</w:t>
      </w:r>
    </w:p>
    <w:p w14:paraId="5EDA08B9" w14:textId="77777777" w:rsidR="00973EBE" w:rsidRPr="006C0CE3" w:rsidRDefault="00973EBE" w:rsidP="768556BD">
      <w:pPr>
        <w:rPr>
          <w:rFonts w:asciiTheme="minorHAnsi" w:eastAsiaTheme="minorEastAsia" w:hAnsiTheme="minorHAnsi" w:cstheme="minorBidi"/>
          <w:noProof/>
          <w:sz w:val="22"/>
          <w:szCs w:val="22"/>
        </w:rPr>
      </w:pPr>
    </w:p>
    <w:p w14:paraId="5018F55A" w14:textId="77777777" w:rsidR="00973EBE" w:rsidRPr="00973EBE"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American Society of Health-System Pharmacists</w:t>
      </w:r>
    </w:p>
    <w:p w14:paraId="5DC9EB37" w14:textId="576CE93A" w:rsidR="3759AFB3" w:rsidRDefault="3759AFB3"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Hematology/Oncology Pharmacy Association</w:t>
      </w:r>
    </w:p>
    <w:p w14:paraId="1E0011BA" w14:textId="18039EF8" w:rsidR="3759AFB3" w:rsidRPr="006C0CE3" w:rsidRDefault="3759AFB3"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National Pharmaceutical Association</w:t>
      </w:r>
    </w:p>
    <w:tbl>
      <w:tblPr>
        <w:tblW w:w="5366" w:type="dxa"/>
        <w:tblInd w:w="-108" w:type="dxa"/>
        <w:tblCellMar>
          <w:top w:w="15" w:type="dxa"/>
          <w:bottom w:w="15" w:type="dxa"/>
        </w:tblCellMar>
        <w:tblLook w:val="04A0" w:firstRow="1" w:lastRow="0" w:firstColumn="1" w:lastColumn="0" w:noHBand="0" w:noVBand="1"/>
      </w:tblPr>
      <w:tblGrid>
        <w:gridCol w:w="5366"/>
      </w:tblGrid>
      <w:tr w:rsidR="00973EBE" w:rsidRPr="00973EBE" w14:paraId="541FD426" w14:textId="77777777" w:rsidTr="768556BD">
        <w:trPr>
          <w:trHeight w:val="285"/>
        </w:trPr>
        <w:tc>
          <w:tcPr>
            <w:tcW w:w="5366" w:type="dxa"/>
            <w:tcBorders>
              <w:top w:val="nil"/>
              <w:left w:val="nil"/>
              <w:bottom w:val="nil"/>
              <w:right w:val="nil"/>
            </w:tcBorders>
            <w:noWrap/>
            <w:vAlign w:val="bottom"/>
            <w:hideMark/>
          </w:tcPr>
          <w:p w14:paraId="152F56C1" w14:textId="57F2BA72"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Alabama Society of Health-</w:t>
            </w:r>
            <w:r w:rsidR="2DC9DB2A" w:rsidRPr="006C0CE3">
              <w:rPr>
                <w:rFonts w:asciiTheme="minorHAnsi" w:eastAsiaTheme="minorEastAsia" w:hAnsiTheme="minorHAnsi" w:cstheme="minorBidi"/>
                <w:color w:val="000000" w:themeColor="text1"/>
                <w:sz w:val="22"/>
                <w:szCs w:val="22"/>
              </w:rPr>
              <w:t>S</w:t>
            </w:r>
            <w:r w:rsidRPr="006C0CE3">
              <w:rPr>
                <w:rFonts w:asciiTheme="minorHAnsi" w:eastAsiaTheme="minorEastAsia" w:hAnsiTheme="minorHAnsi" w:cstheme="minorBidi"/>
                <w:color w:val="000000" w:themeColor="text1"/>
                <w:sz w:val="22"/>
                <w:szCs w:val="22"/>
              </w:rPr>
              <w:t>ystem Pharmacists</w:t>
            </w:r>
          </w:p>
        </w:tc>
      </w:tr>
      <w:tr w:rsidR="00973EBE" w:rsidRPr="00973EBE" w14:paraId="6972E535" w14:textId="77777777" w:rsidTr="768556BD">
        <w:trPr>
          <w:trHeight w:val="285"/>
        </w:trPr>
        <w:tc>
          <w:tcPr>
            <w:tcW w:w="5366" w:type="dxa"/>
            <w:tcBorders>
              <w:top w:val="nil"/>
              <w:left w:val="nil"/>
              <w:bottom w:val="nil"/>
              <w:right w:val="nil"/>
            </w:tcBorders>
            <w:noWrap/>
            <w:vAlign w:val="bottom"/>
            <w:hideMark/>
          </w:tcPr>
          <w:p w14:paraId="641A8BD2" w14:textId="15E77FC2"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Arizona Pharmacy Association</w:t>
            </w:r>
          </w:p>
        </w:tc>
      </w:tr>
      <w:tr w:rsidR="00973EBE" w:rsidRPr="00973EBE" w14:paraId="03B5F77C" w14:textId="77777777" w:rsidTr="768556BD">
        <w:trPr>
          <w:trHeight w:val="285"/>
        </w:trPr>
        <w:tc>
          <w:tcPr>
            <w:tcW w:w="5366" w:type="dxa"/>
            <w:tcBorders>
              <w:top w:val="nil"/>
              <w:left w:val="nil"/>
              <w:bottom w:val="nil"/>
              <w:right w:val="nil"/>
            </w:tcBorders>
            <w:noWrap/>
            <w:vAlign w:val="bottom"/>
            <w:hideMark/>
          </w:tcPr>
          <w:p w14:paraId="77D00DFF" w14:textId="6D1CEEDF"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Arkansas Association of Health System Pharmacists</w:t>
            </w:r>
          </w:p>
        </w:tc>
      </w:tr>
      <w:tr w:rsidR="00973EBE" w:rsidRPr="00973EBE" w14:paraId="2639A867" w14:textId="77777777" w:rsidTr="768556BD">
        <w:trPr>
          <w:trHeight w:val="285"/>
        </w:trPr>
        <w:tc>
          <w:tcPr>
            <w:tcW w:w="5366" w:type="dxa"/>
            <w:tcBorders>
              <w:top w:val="nil"/>
              <w:left w:val="nil"/>
              <w:bottom w:val="nil"/>
              <w:right w:val="nil"/>
            </w:tcBorders>
            <w:noWrap/>
            <w:vAlign w:val="bottom"/>
            <w:hideMark/>
          </w:tcPr>
          <w:p w14:paraId="2FDE0308" w14:textId="0A04C019"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California Society of Health System Pharmacists</w:t>
            </w:r>
          </w:p>
          <w:p w14:paraId="76E40FA8" w14:textId="2CBD6C44" w:rsidR="000169B9" w:rsidRPr="006C0CE3" w:rsidRDefault="4DE3822C"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Colegio de Farmaceuticos de Puerto Rico</w:t>
            </w:r>
          </w:p>
        </w:tc>
      </w:tr>
      <w:tr w:rsidR="00973EBE" w:rsidRPr="00973EBE" w14:paraId="1CD3F6E8" w14:textId="77777777" w:rsidTr="768556BD">
        <w:trPr>
          <w:trHeight w:val="285"/>
        </w:trPr>
        <w:tc>
          <w:tcPr>
            <w:tcW w:w="5366" w:type="dxa"/>
            <w:tcBorders>
              <w:top w:val="nil"/>
              <w:left w:val="nil"/>
              <w:bottom w:val="nil"/>
              <w:right w:val="nil"/>
            </w:tcBorders>
            <w:noWrap/>
            <w:vAlign w:val="bottom"/>
            <w:hideMark/>
          </w:tcPr>
          <w:p w14:paraId="636E62DF"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Colorado Pharmacists Society</w:t>
            </w:r>
          </w:p>
        </w:tc>
      </w:tr>
      <w:tr w:rsidR="00973EBE" w:rsidRPr="00973EBE" w14:paraId="30A63EF1" w14:textId="77777777" w:rsidTr="768556BD">
        <w:trPr>
          <w:trHeight w:val="285"/>
        </w:trPr>
        <w:tc>
          <w:tcPr>
            <w:tcW w:w="5366" w:type="dxa"/>
            <w:tcBorders>
              <w:top w:val="nil"/>
              <w:left w:val="nil"/>
              <w:bottom w:val="nil"/>
              <w:right w:val="nil"/>
            </w:tcBorders>
            <w:noWrap/>
            <w:vAlign w:val="bottom"/>
            <w:hideMark/>
          </w:tcPr>
          <w:p w14:paraId="0AB3D95B"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Connecticut Society of Health System Pharmacists (CSHP)</w:t>
            </w:r>
          </w:p>
        </w:tc>
      </w:tr>
      <w:tr w:rsidR="00973EBE" w:rsidRPr="00973EBE" w14:paraId="6FE5021F" w14:textId="77777777" w:rsidTr="768556BD">
        <w:trPr>
          <w:trHeight w:val="285"/>
        </w:trPr>
        <w:tc>
          <w:tcPr>
            <w:tcW w:w="5366" w:type="dxa"/>
            <w:tcBorders>
              <w:top w:val="nil"/>
              <w:left w:val="nil"/>
              <w:bottom w:val="nil"/>
              <w:right w:val="nil"/>
            </w:tcBorders>
            <w:noWrap/>
            <w:vAlign w:val="bottom"/>
            <w:hideMark/>
          </w:tcPr>
          <w:p w14:paraId="74C976F1"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 xml:space="preserve">Delaware Society of Health-System Pharmacists </w:t>
            </w:r>
          </w:p>
        </w:tc>
      </w:tr>
      <w:tr w:rsidR="00973EBE" w:rsidRPr="00973EBE" w14:paraId="75DBDD30" w14:textId="77777777" w:rsidTr="768556BD">
        <w:trPr>
          <w:trHeight w:val="285"/>
        </w:trPr>
        <w:tc>
          <w:tcPr>
            <w:tcW w:w="5366" w:type="dxa"/>
            <w:tcBorders>
              <w:top w:val="nil"/>
              <w:left w:val="nil"/>
              <w:bottom w:val="nil"/>
              <w:right w:val="nil"/>
            </w:tcBorders>
            <w:noWrap/>
            <w:vAlign w:val="bottom"/>
            <w:hideMark/>
          </w:tcPr>
          <w:p w14:paraId="3F8F41CB"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 xml:space="preserve">Georgia Society of Health-System Pharmacists </w:t>
            </w:r>
          </w:p>
        </w:tc>
      </w:tr>
      <w:tr w:rsidR="00973EBE" w:rsidRPr="00973EBE" w14:paraId="2DDE6AAC" w14:textId="77777777" w:rsidTr="768556BD">
        <w:trPr>
          <w:trHeight w:val="285"/>
        </w:trPr>
        <w:tc>
          <w:tcPr>
            <w:tcW w:w="5366" w:type="dxa"/>
            <w:tcBorders>
              <w:top w:val="nil"/>
              <w:left w:val="nil"/>
              <w:bottom w:val="nil"/>
              <w:right w:val="nil"/>
            </w:tcBorders>
            <w:noWrap/>
            <w:vAlign w:val="bottom"/>
            <w:hideMark/>
          </w:tcPr>
          <w:p w14:paraId="0EC16F7B"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Idaho Society of Health-System Pharmacy</w:t>
            </w:r>
          </w:p>
        </w:tc>
      </w:tr>
      <w:tr w:rsidR="00973EBE" w:rsidRPr="00973EBE" w14:paraId="7E12E65E" w14:textId="77777777" w:rsidTr="768556BD">
        <w:trPr>
          <w:trHeight w:val="285"/>
        </w:trPr>
        <w:tc>
          <w:tcPr>
            <w:tcW w:w="5366" w:type="dxa"/>
            <w:tcBorders>
              <w:top w:val="nil"/>
              <w:left w:val="nil"/>
              <w:bottom w:val="nil"/>
              <w:right w:val="nil"/>
            </w:tcBorders>
            <w:noWrap/>
            <w:vAlign w:val="bottom"/>
            <w:hideMark/>
          </w:tcPr>
          <w:p w14:paraId="48AF09AC"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Illinois Council of Health-System Pharmacists</w:t>
            </w:r>
          </w:p>
        </w:tc>
      </w:tr>
      <w:tr w:rsidR="00973EBE" w:rsidRPr="00973EBE" w14:paraId="05BFAC84" w14:textId="77777777" w:rsidTr="768556BD">
        <w:trPr>
          <w:trHeight w:val="285"/>
        </w:trPr>
        <w:tc>
          <w:tcPr>
            <w:tcW w:w="5366" w:type="dxa"/>
            <w:tcBorders>
              <w:top w:val="nil"/>
              <w:left w:val="nil"/>
              <w:bottom w:val="nil"/>
              <w:right w:val="nil"/>
            </w:tcBorders>
            <w:noWrap/>
            <w:vAlign w:val="bottom"/>
            <w:hideMark/>
          </w:tcPr>
          <w:p w14:paraId="361CB104"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Indiana Pharmacy Association</w:t>
            </w:r>
          </w:p>
        </w:tc>
      </w:tr>
      <w:tr w:rsidR="00973EBE" w:rsidRPr="00973EBE" w14:paraId="20B1B3A1" w14:textId="77777777" w:rsidTr="768556BD">
        <w:trPr>
          <w:trHeight w:val="285"/>
        </w:trPr>
        <w:tc>
          <w:tcPr>
            <w:tcW w:w="5366" w:type="dxa"/>
            <w:tcBorders>
              <w:top w:val="nil"/>
              <w:left w:val="nil"/>
              <w:bottom w:val="nil"/>
              <w:right w:val="nil"/>
            </w:tcBorders>
            <w:noWrap/>
            <w:vAlign w:val="bottom"/>
            <w:hideMark/>
          </w:tcPr>
          <w:p w14:paraId="2549F110"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Kansas Council of Health System Pharmacy</w:t>
            </w:r>
          </w:p>
        </w:tc>
      </w:tr>
      <w:tr w:rsidR="00973EBE" w:rsidRPr="00973EBE" w14:paraId="59405F83" w14:textId="77777777" w:rsidTr="768556BD">
        <w:trPr>
          <w:trHeight w:val="285"/>
        </w:trPr>
        <w:tc>
          <w:tcPr>
            <w:tcW w:w="5366" w:type="dxa"/>
            <w:tcBorders>
              <w:top w:val="nil"/>
              <w:left w:val="nil"/>
              <w:bottom w:val="nil"/>
              <w:right w:val="nil"/>
            </w:tcBorders>
            <w:noWrap/>
            <w:vAlign w:val="bottom"/>
            <w:hideMark/>
          </w:tcPr>
          <w:p w14:paraId="5C44DF89"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Kentucky Society of Health-System Pharmacists</w:t>
            </w:r>
          </w:p>
        </w:tc>
      </w:tr>
      <w:tr w:rsidR="00973EBE" w:rsidRPr="00973EBE" w14:paraId="455A96CB" w14:textId="77777777" w:rsidTr="768556BD">
        <w:trPr>
          <w:trHeight w:val="285"/>
        </w:trPr>
        <w:tc>
          <w:tcPr>
            <w:tcW w:w="5366" w:type="dxa"/>
            <w:tcBorders>
              <w:top w:val="nil"/>
              <w:left w:val="nil"/>
              <w:bottom w:val="nil"/>
              <w:right w:val="nil"/>
            </w:tcBorders>
            <w:noWrap/>
            <w:vAlign w:val="bottom"/>
            <w:hideMark/>
          </w:tcPr>
          <w:p w14:paraId="159D0F24"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Louisiana Society of Health-System Pharmacists</w:t>
            </w:r>
          </w:p>
        </w:tc>
      </w:tr>
      <w:tr w:rsidR="00973EBE" w:rsidRPr="00973EBE" w14:paraId="252800F8" w14:textId="77777777" w:rsidTr="768556BD">
        <w:trPr>
          <w:trHeight w:val="285"/>
        </w:trPr>
        <w:tc>
          <w:tcPr>
            <w:tcW w:w="5366" w:type="dxa"/>
            <w:tcBorders>
              <w:top w:val="nil"/>
              <w:left w:val="nil"/>
              <w:bottom w:val="nil"/>
              <w:right w:val="nil"/>
            </w:tcBorders>
            <w:noWrap/>
            <w:vAlign w:val="bottom"/>
            <w:hideMark/>
          </w:tcPr>
          <w:p w14:paraId="3F57C4DC"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Maryland Society of Health-System Pharmacy</w:t>
            </w:r>
          </w:p>
        </w:tc>
      </w:tr>
      <w:tr w:rsidR="00973EBE" w:rsidRPr="00973EBE" w14:paraId="186490FB" w14:textId="77777777" w:rsidTr="768556BD">
        <w:trPr>
          <w:trHeight w:val="285"/>
        </w:trPr>
        <w:tc>
          <w:tcPr>
            <w:tcW w:w="5366" w:type="dxa"/>
            <w:tcBorders>
              <w:top w:val="nil"/>
              <w:left w:val="nil"/>
              <w:bottom w:val="nil"/>
              <w:right w:val="nil"/>
            </w:tcBorders>
            <w:noWrap/>
            <w:vAlign w:val="bottom"/>
            <w:hideMark/>
          </w:tcPr>
          <w:p w14:paraId="0AB9E3CB" w14:textId="68A96093" w:rsidR="00973EBE" w:rsidRPr="006C0CE3" w:rsidRDefault="4DE3822C"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Massachusetts</w:t>
            </w:r>
            <w:r w:rsidR="00973EBE" w:rsidRPr="006C0CE3">
              <w:rPr>
                <w:rFonts w:asciiTheme="minorHAnsi" w:eastAsiaTheme="minorEastAsia" w:hAnsiTheme="minorHAnsi" w:cstheme="minorBidi"/>
                <w:color w:val="000000" w:themeColor="text1"/>
                <w:sz w:val="22"/>
                <w:szCs w:val="22"/>
              </w:rPr>
              <w:t xml:space="preserve"> Society of Health System Pharmacy</w:t>
            </w:r>
          </w:p>
        </w:tc>
      </w:tr>
      <w:tr w:rsidR="00973EBE" w:rsidRPr="00973EBE" w14:paraId="49FCA048" w14:textId="77777777" w:rsidTr="768556BD">
        <w:trPr>
          <w:trHeight w:val="285"/>
        </w:trPr>
        <w:tc>
          <w:tcPr>
            <w:tcW w:w="5366" w:type="dxa"/>
            <w:tcBorders>
              <w:top w:val="nil"/>
              <w:left w:val="nil"/>
              <w:bottom w:val="nil"/>
              <w:right w:val="nil"/>
            </w:tcBorders>
            <w:noWrap/>
            <w:vAlign w:val="bottom"/>
            <w:hideMark/>
          </w:tcPr>
          <w:p w14:paraId="651AA36E"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Michigan Society of Health-System Pharmacists</w:t>
            </w:r>
          </w:p>
        </w:tc>
      </w:tr>
      <w:tr w:rsidR="00973EBE" w:rsidRPr="00973EBE" w14:paraId="6E88FE67" w14:textId="77777777" w:rsidTr="768556BD">
        <w:trPr>
          <w:trHeight w:val="285"/>
        </w:trPr>
        <w:tc>
          <w:tcPr>
            <w:tcW w:w="5366" w:type="dxa"/>
            <w:tcBorders>
              <w:top w:val="nil"/>
              <w:left w:val="nil"/>
              <w:bottom w:val="nil"/>
              <w:right w:val="nil"/>
            </w:tcBorders>
            <w:noWrap/>
            <w:vAlign w:val="bottom"/>
            <w:hideMark/>
          </w:tcPr>
          <w:p w14:paraId="7B9DC484"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Minnesota Society of Health-System Pharmacists</w:t>
            </w:r>
          </w:p>
        </w:tc>
      </w:tr>
      <w:tr w:rsidR="00973EBE" w:rsidRPr="00973EBE" w14:paraId="17A758F3" w14:textId="77777777" w:rsidTr="768556BD">
        <w:trPr>
          <w:trHeight w:val="285"/>
        </w:trPr>
        <w:tc>
          <w:tcPr>
            <w:tcW w:w="5366" w:type="dxa"/>
            <w:tcBorders>
              <w:top w:val="nil"/>
              <w:left w:val="nil"/>
              <w:bottom w:val="nil"/>
              <w:right w:val="nil"/>
            </w:tcBorders>
            <w:noWrap/>
            <w:vAlign w:val="bottom"/>
            <w:hideMark/>
          </w:tcPr>
          <w:p w14:paraId="18949867" w14:textId="661623F4"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 xml:space="preserve">Missouri Society of Health System Pharmacists </w:t>
            </w:r>
          </w:p>
        </w:tc>
      </w:tr>
      <w:tr w:rsidR="00973EBE" w:rsidRPr="00973EBE" w14:paraId="0D0A3A85" w14:textId="77777777" w:rsidTr="768556BD">
        <w:trPr>
          <w:trHeight w:val="285"/>
        </w:trPr>
        <w:tc>
          <w:tcPr>
            <w:tcW w:w="5366" w:type="dxa"/>
            <w:tcBorders>
              <w:top w:val="nil"/>
              <w:left w:val="nil"/>
              <w:bottom w:val="nil"/>
              <w:right w:val="nil"/>
            </w:tcBorders>
            <w:noWrap/>
            <w:vAlign w:val="bottom"/>
            <w:hideMark/>
          </w:tcPr>
          <w:p w14:paraId="0A0C183B"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Nebraska Pharmacists Association</w:t>
            </w:r>
          </w:p>
        </w:tc>
      </w:tr>
      <w:tr w:rsidR="00973EBE" w:rsidRPr="00973EBE" w14:paraId="6051C70F" w14:textId="77777777" w:rsidTr="768556BD">
        <w:trPr>
          <w:trHeight w:val="285"/>
        </w:trPr>
        <w:tc>
          <w:tcPr>
            <w:tcW w:w="5366" w:type="dxa"/>
            <w:tcBorders>
              <w:top w:val="nil"/>
              <w:left w:val="nil"/>
              <w:bottom w:val="nil"/>
              <w:right w:val="nil"/>
            </w:tcBorders>
            <w:noWrap/>
            <w:vAlign w:val="bottom"/>
            <w:hideMark/>
          </w:tcPr>
          <w:p w14:paraId="5C73C4CD"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lastRenderedPageBreak/>
              <w:t>Nevada Society of Health System Pharmacists</w:t>
            </w:r>
          </w:p>
        </w:tc>
      </w:tr>
      <w:tr w:rsidR="00973EBE" w:rsidRPr="00973EBE" w14:paraId="29E27498" w14:textId="77777777" w:rsidTr="768556BD">
        <w:trPr>
          <w:trHeight w:val="285"/>
        </w:trPr>
        <w:tc>
          <w:tcPr>
            <w:tcW w:w="5366" w:type="dxa"/>
            <w:tcBorders>
              <w:top w:val="nil"/>
              <w:left w:val="nil"/>
              <w:bottom w:val="nil"/>
              <w:right w:val="nil"/>
            </w:tcBorders>
            <w:noWrap/>
            <w:vAlign w:val="bottom"/>
            <w:hideMark/>
          </w:tcPr>
          <w:p w14:paraId="3C4E7B71"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Nevada Society of Health-System Pharmacists</w:t>
            </w:r>
          </w:p>
        </w:tc>
      </w:tr>
      <w:tr w:rsidR="00973EBE" w:rsidRPr="00973EBE" w14:paraId="5E29CFB3" w14:textId="77777777" w:rsidTr="768556BD">
        <w:trPr>
          <w:trHeight w:val="285"/>
        </w:trPr>
        <w:tc>
          <w:tcPr>
            <w:tcW w:w="5366" w:type="dxa"/>
            <w:tcBorders>
              <w:top w:val="nil"/>
              <w:left w:val="nil"/>
              <w:bottom w:val="nil"/>
              <w:right w:val="nil"/>
            </w:tcBorders>
            <w:noWrap/>
            <w:vAlign w:val="bottom"/>
            <w:hideMark/>
          </w:tcPr>
          <w:p w14:paraId="6F9FBD30"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New Hampshire Society of Health-System Pharmacists</w:t>
            </w:r>
          </w:p>
        </w:tc>
      </w:tr>
      <w:tr w:rsidR="00973EBE" w:rsidRPr="00973EBE" w14:paraId="1B52C77A" w14:textId="77777777" w:rsidTr="768556BD">
        <w:trPr>
          <w:trHeight w:val="285"/>
        </w:trPr>
        <w:tc>
          <w:tcPr>
            <w:tcW w:w="5366" w:type="dxa"/>
            <w:tcBorders>
              <w:top w:val="nil"/>
              <w:left w:val="nil"/>
              <w:bottom w:val="nil"/>
              <w:right w:val="nil"/>
            </w:tcBorders>
            <w:noWrap/>
            <w:vAlign w:val="bottom"/>
            <w:hideMark/>
          </w:tcPr>
          <w:p w14:paraId="0511EA36"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New Jersey Society of Health-System Pharmacy</w:t>
            </w:r>
          </w:p>
        </w:tc>
      </w:tr>
      <w:tr w:rsidR="00973EBE" w:rsidRPr="00973EBE" w14:paraId="198946EC" w14:textId="77777777" w:rsidTr="768556BD">
        <w:trPr>
          <w:trHeight w:val="285"/>
        </w:trPr>
        <w:tc>
          <w:tcPr>
            <w:tcW w:w="5366" w:type="dxa"/>
            <w:tcBorders>
              <w:top w:val="nil"/>
              <w:left w:val="nil"/>
              <w:bottom w:val="nil"/>
              <w:right w:val="nil"/>
            </w:tcBorders>
            <w:noWrap/>
            <w:vAlign w:val="bottom"/>
            <w:hideMark/>
          </w:tcPr>
          <w:p w14:paraId="51BB4D17"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New York State Council of Health-system Pharmacists</w:t>
            </w:r>
          </w:p>
        </w:tc>
      </w:tr>
      <w:tr w:rsidR="00973EBE" w:rsidRPr="00973EBE" w14:paraId="3D534E9E" w14:textId="77777777" w:rsidTr="768556BD">
        <w:trPr>
          <w:trHeight w:val="285"/>
        </w:trPr>
        <w:tc>
          <w:tcPr>
            <w:tcW w:w="5366" w:type="dxa"/>
            <w:tcBorders>
              <w:top w:val="nil"/>
              <w:left w:val="nil"/>
              <w:bottom w:val="nil"/>
              <w:right w:val="nil"/>
            </w:tcBorders>
            <w:noWrap/>
            <w:vAlign w:val="bottom"/>
            <w:hideMark/>
          </w:tcPr>
          <w:p w14:paraId="42727DDD"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North Carolina Association of Pharmacists</w:t>
            </w:r>
          </w:p>
        </w:tc>
      </w:tr>
      <w:tr w:rsidR="00973EBE" w:rsidRPr="00973EBE" w14:paraId="3BF04401" w14:textId="77777777" w:rsidTr="768556BD">
        <w:trPr>
          <w:trHeight w:val="285"/>
        </w:trPr>
        <w:tc>
          <w:tcPr>
            <w:tcW w:w="5366" w:type="dxa"/>
            <w:tcBorders>
              <w:top w:val="nil"/>
              <w:left w:val="nil"/>
              <w:bottom w:val="nil"/>
              <w:right w:val="nil"/>
            </w:tcBorders>
            <w:noWrap/>
            <w:vAlign w:val="bottom"/>
            <w:hideMark/>
          </w:tcPr>
          <w:p w14:paraId="3FFBDA3E"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Norton Healthcare</w:t>
            </w:r>
          </w:p>
        </w:tc>
      </w:tr>
      <w:tr w:rsidR="00973EBE" w:rsidRPr="00973EBE" w14:paraId="0C4AADAF" w14:textId="77777777" w:rsidTr="768556BD">
        <w:trPr>
          <w:trHeight w:val="285"/>
        </w:trPr>
        <w:tc>
          <w:tcPr>
            <w:tcW w:w="5366" w:type="dxa"/>
            <w:tcBorders>
              <w:top w:val="nil"/>
              <w:left w:val="nil"/>
              <w:bottom w:val="nil"/>
              <w:right w:val="nil"/>
            </w:tcBorders>
            <w:noWrap/>
            <w:vAlign w:val="bottom"/>
            <w:hideMark/>
          </w:tcPr>
          <w:p w14:paraId="0B6DBF25" w14:textId="7A6B9739"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 xml:space="preserve">Ohio Society of Health-System Pharmacy </w:t>
            </w:r>
          </w:p>
        </w:tc>
      </w:tr>
      <w:tr w:rsidR="00973EBE" w:rsidRPr="00973EBE" w14:paraId="1C7C1E39" w14:textId="77777777" w:rsidTr="768556BD">
        <w:trPr>
          <w:trHeight w:val="285"/>
        </w:trPr>
        <w:tc>
          <w:tcPr>
            <w:tcW w:w="5366" w:type="dxa"/>
            <w:tcBorders>
              <w:top w:val="nil"/>
              <w:left w:val="nil"/>
              <w:bottom w:val="nil"/>
              <w:right w:val="nil"/>
            </w:tcBorders>
            <w:noWrap/>
            <w:vAlign w:val="bottom"/>
            <w:hideMark/>
          </w:tcPr>
          <w:p w14:paraId="27F5D1BE"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Oregon Society of Health-System Pharmacists</w:t>
            </w:r>
          </w:p>
        </w:tc>
      </w:tr>
      <w:tr w:rsidR="00973EBE" w:rsidRPr="00973EBE" w14:paraId="7BEC217B" w14:textId="77777777" w:rsidTr="768556BD">
        <w:trPr>
          <w:trHeight w:val="285"/>
        </w:trPr>
        <w:tc>
          <w:tcPr>
            <w:tcW w:w="5366" w:type="dxa"/>
            <w:tcBorders>
              <w:top w:val="nil"/>
              <w:left w:val="nil"/>
              <w:bottom w:val="nil"/>
              <w:right w:val="nil"/>
            </w:tcBorders>
            <w:noWrap/>
            <w:vAlign w:val="bottom"/>
            <w:hideMark/>
          </w:tcPr>
          <w:p w14:paraId="60A02D06"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Pharmacy Society of Wisconsin</w:t>
            </w:r>
          </w:p>
        </w:tc>
      </w:tr>
      <w:tr w:rsidR="00973EBE" w:rsidRPr="00973EBE" w14:paraId="617CA085" w14:textId="77777777" w:rsidTr="768556BD">
        <w:trPr>
          <w:trHeight w:val="285"/>
        </w:trPr>
        <w:tc>
          <w:tcPr>
            <w:tcW w:w="5366" w:type="dxa"/>
            <w:tcBorders>
              <w:top w:val="nil"/>
              <w:left w:val="nil"/>
              <w:bottom w:val="nil"/>
              <w:right w:val="nil"/>
            </w:tcBorders>
            <w:noWrap/>
            <w:vAlign w:val="bottom"/>
            <w:hideMark/>
          </w:tcPr>
          <w:p w14:paraId="2CCD77E0"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South Dakota Pharmacists Association</w:t>
            </w:r>
          </w:p>
        </w:tc>
      </w:tr>
      <w:tr w:rsidR="00973EBE" w:rsidRPr="00973EBE" w14:paraId="408B395E" w14:textId="77777777" w:rsidTr="768556BD">
        <w:trPr>
          <w:trHeight w:val="285"/>
        </w:trPr>
        <w:tc>
          <w:tcPr>
            <w:tcW w:w="5366" w:type="dxa"/>
            <w:tcBorders>
              <w:top w:val="nil"/>
              <w:left w:val="nil"/>
              <w:bottom w:val="nil"/>
              <w:right w:val="nil"/>
            </w:tcBorders>
            <w:noWrap/>
            <w:vAlign w:val="bottom"/>
            <w:hideMark/>
          </w:tcPr>
          <w:p w14:paraId="0526E77C"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Tennessee Pharmacists Association</w:t>
            </w:r>
          </w:p>
        </w:tc>
      </w:tr>
      <w:tr w:rsidR="00973EBE" w:rsidRPr="00973EBE" w14:paraId="7098328E" w14:textId="77777777" w:rsidTr="768556BD">
        <w:trPr>
          <w:trHeight w:val="285"/>
        </w:trPr>
        <w:tc>
          <w:tcPr>
            <w:tcW w:w="5366" w:type="dxa"/>
            <w:tcBorders>
              <w:top w:val="nil"/>
              <w:left w:val="nil"/>
              <w:bottom w:val="nil"/>
              <w:right w:val="nil"/>
            </w:tcBorders>
            <w:noWrap/>
            <w:vAlign w:val="bottom"/>
            <w:hideMark/>
          </w:tcPr>
          <w:p w14:paraId="3824A344"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Texas Society of Health-System Pharmacy</w:t>
            </w:r>
          </w:p>
        </w:tc>
      </w:tr>
      <w:tr w:rsidR="00973EBE" w:rsidRPr="00973EBE" w14:paraId="1C75E808" w14:textId="77777777" w:rsidTr="768556BD">
        <w:trPr>
          <w:trHeight w:val="285"/>
        </w:trPr>
        <w:tc>
          <w:tcPr>
            <w:tcW w:w="5366" w:type="dxa"/>
            <w:tcBorders>
              <w:top w:val="nil"/>
              <w:left w:val="nil"/>
              <w:bottom w:val="nil"/>
              <w:right w:val="nil"/>
            </w:tcBorders>
            <w:noWrap/>
            <w:vAlign w:val="bottom"/>
            <w:hideMark/>
          </w:tcPr>
          <w:p w14:paraId="19D85D09"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Virginia Society of Health-System Pharmacists</w:t>
            </w:r>
          </w:p>
        </w:tc>
      </w:tr>
      <w:tr w:rsidR="00973EBE" w:rsidRPr="00973EBE" w14:paraId="7CC55028" w14:textId="77777777" w:rsidTr="768556BD">
        <w:trPr>
          <w:trHeight w:val="285"/>
        </w:trPr>
        <w:tc>
          <w:tcPr>
            <w:tcW w:w="5366" w:type="dxa"/>
            <w:tcBorders>
              <w:top w:val="nil"/>
              <w:left w:val="nil"/>
              <w:bottom w:val="nil"/>
              <w:right w:val="nil"/>
            </w:tcBorders>
            <w:noWrap/>
            <w:vAlign w:val="bottom"/>
            <w:hideMark/>
          </w:tcPr>
          <w:p w14:paraId="72533280"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Washington State Pharmacy Association</w:t>
            </w:r>
          </w:p>
        </w:tc>
      </w:tr>
      <w:tr w:rsidR="00973EBE" w:rsidRPr="00973EBE" w14:paraId="1637CE9D" w14:textId="77777777" w:rsidTr="768556BD">
        <w:trPr>
          <w:trHeight w:val="285"/>
        </w:trPr>
        <w:tc>
          <w:tcPr>
            <w:tcW w:w="5366" w:type="dxa"/>
            <w:tcBorders>
              <w:top w:val="nil"/>
              <w:left w:val="nil"/>
              <w:bottom w:val="nil"/>
              <w:right w:val="nil"/>
            </w:tcBorders>
            <w:noWrap/>
            <w:vAlign w:val="bottom"/>
            <w:hideMark/>
          </w:tcPr>
          <w:p w14:paraId="38A111E2" w14:textId="314411B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 xml:space="preserve">West Virginia Society of Health System Pharmacists </w:t>
            </w:r>
          </w:p>
        </w:tc>
      </w:tr>
      <w:tr w:rsidR="00973EBE" w:rsidRPr="00973EBE" w14:paraId="3294F7AE" w14:textId="77777777" w:rsidTr="768556BD">
        <w:trPr>
          <w:trHeight w:val="285"/>
        </w:trPr>
        <w:tc>
          <w:tcPr>
            <w:tcW w:w="5366" w:type="dxa"/>
            <w:tcBorders>
              <w:top w:val="nil"/>
              <w:left w:val="nil"/>
              <w:bottom w:val="nil"/>
              <w:right w:val="nil"/>
            </w:tcBorders>
            <w:noWrap/>
            <w:vAlign w:val="bottom"/>
            <w:hideMark/>
          </w:tcPr>
          <w:p w14:paraId="75FE29C2" w14:textId="77777777" w:rsidR="00973EBE" w:rsidRPr="006C0CE3" w:rsidRDefault="00973EBE" w:rsidP="768556BD">
            <w:pPr>
              <w:rPr>
                <w:rFonts w:asciiTheme="minorHAnsi" w:eastAsiaTheme="minorEastAsia" w:hAnsiTheme="minorHAnsi" w:cstheme="minorBidi"/>
                <w:color w:val="000000"/>
                <w:sz w:val="22"/>
                <w:szCs w:val="22"/>
              </w:rPr>
            </w:pPr>
            <w:r w:rsidRPr="006C0CE3">
              <w:rPr>
                <w:rFonts w:asciiTheme="minorHAnsi" w:eastAsiaTheme="minorEastAsia" w:hAnsiTheme="minorHAnsi" w:cstheme="minorBidi"/>
                <w:color w:val="000000" w:themeColor="text1"/>
                <w:sz w:val="22"/>
                <w:szCs w:val="22"/>
              </w:rPr>
              <w:t>Wyoming Society of Health-System Pharmacy</w:t>
            </w:r>
          </w:p>
        </w:tc>
      </w:tr>
    </w:tbl>
    <w:p w14:paraId="3A713279" w14:textId="77777777" w:rsidR="0057385F" w:rsidRDefault="0057385F" w:rsidP="768556BD">
      <w:pPr>
        <w:rPr>
          <w:rFonts w:asciiTheme="minorHAnsi" w:eastAsiaTheme="minorEastAsia" w:hAnsiTheme="minorHAnsi" w:cstheme="minorBidi"/>
          <w:sz w:val="22"/>
          <w:szCs w:val="22"/>
        </w:rPr>
      </w:pPr>
    </w:p>
    <w:p w14:paraId="5D0BB5FD" w14:textId="47B3091B" w:rsidR="00973EBE" w:rsidRPr="006C0CE3" w:rsidRDefault="00973EBE" w:rsidP="768556BD">
      <w:pPr>
        <w:rPr>
          <w:rFonts w:asciiTheme="minorHAnsi" w:eastAsiaTheme="minorEastAsia" w:hAnsiTheme="minorHAnsi" w:cstheme="minorBidi"/>
          <w:sz w:val="22"/>
          <w:szCs w:val="22"/>
        </w:rPr>
      </w:pPr>
      <w:r w:rsidRPr="006C0CE3">
        <w:rPr>
          <w:rFonts w:asciiTheme="minorHAnsi" w:eastAsiaTheme="minorEastAsia" w:hAnsiTheme="minorHAnsi" w:cstheme="minorBidi"/>
          <w:sz w:val="22"/>
          <w:szCs w:val="22"/>
        </w:rPr>
        <w:t xml:space="preserve">cc: </w:t>
      </w:r>
    </w:p>
    <w:p w14:paraId="25518CD8" w14:textId="77777777" w:rsidR="00973EBE" w:rsidRPr="006C0CE3" w:rsidRDefault="00973EBE" w:rsidP="768556BD">
      <w:pPr>
        <w:rPr>
          <w:rFonts w:asciiTheme="minorHAnsi" w:eastAsiaTheme="minorEastAsia" w:hAnsiTheme="minorHAnsi" w:cstheme="minorBidi"/>
          <w:noProof/>
          <w:sz w:val="22"/>
          <w:szCs w:val="22"/>
        </w:rPr>
      </w:pPr>
    </w:p>
    <w:p w14:paraId="4494FD74" w14:textId="77777777"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Stephanie Carlton, Chief of Staff</w:t>
      </w:r>
    </w:p>
    <w:p w14:paraId="22CC33D1" w14:textId="77777777"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Centers for Medicare &amp; Medicaid Services</w:t>
      </w:r>
    </w:p>
    <w:p w14:paraId="0EECA941" w14:textId="77777777" w:rsidR="00973EBE" w:rsidRPr="006C0CE3" w:rsidRDefault="00973EBE" w:rsidP="768556BD">
      <w:pPr>
        <w:rPr>
          <w:rFonts w:asciiTheme="minorHAnsi" w:eastAsiaTheme="minorEastAsia" w:hAnsiTheme="minorHAnsi" w:cstheme="minorBidi"/>
          <w:noProof/>
          <w:sz w:val="22"/>
          <w:szCs w:val="22"/>
        </w:rPr>
      </w:pPr>
    </w:p>
    <w:p w14:paraId="2825CB4D" w14:textId="77777777"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John Brooks, Deputy Administrator and Chief Policy and Regulatory Officer</w:t>
      </w:r>
    </w:p>
    <w:p w14:paraId="4CF514A6" w14:textId="77777777"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 xml:space="preserve">Centers for Medicare &amp; Medicaid Services </w:t>
      </w:r>
    </w:p>
    <w:p w14:paraId="71260FAD" w14:textId="77777777" w:rsidR="00973EBE" w:rsidRPr="006C0CE3" w:rsidRDefault="00973EBE" w:rsidP="768556BD">
      <w:pPr>
        <w:rPr>
          <w:rFonts w:asciiTheme="minorHAnsi" w:eastAsiaTheme="minorEastAsia" w:hAnsiTheme="minorHAnsi" w:cstheme="minorBidi"/>
          <w:noProof/>
          <w:sz w:val="22"/>
          <w:szCs w:val="22"/>
        </w:rPr>
      </w:pPr>
    </w:p>
    <w:p w14:paraId="38B9BAD6" w14:textId="77777777" w:rsidR="007165C8"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 xml:space="preserve">Chris Klomp, Deputy Administrator and Director </w:t>
      </w:r>
    </w:p>
    <w:p w14:paraId="5C423357" w14:textId="6FD0CF9D" w:rsidR="00973EBE" w:rsidRPr="006C0CE3" w:rsidRDefault="00973EBE" w:rsidP="768556BD">
      <w:pPr>
        <w:rPr>
          <w:rFonts w:asciiTheme="minorHAnsi" w:eastAsiaTheme="minorEastAsia" w:hAnsiTheme="minorHAnsi" w:cstheme="minorBidi"/>
          <w:noProof/>
          <w:sz w:val="22"/>
          <w:szCs w:val="22"/>
        </w:rPr>
      </w:pPr>
      <w:r w:rsidRPr="006C0CE3">
        <w:rPr>
          <w:rFonts w:asciiTheme="minorHAnsi" w:eastAsiaTheme="minorEastAsia" w:hAnsiTheme="minorHAnsi" w:cstheme="minorBidi"/>
          <w:noProof/>
          <w:sz w:val="22"/>
          <w:szCs w:val="22"/>
        </w:rPr>
        <w:t xml:space="preserve">Centers for Medicare &amp; Medicaid Services </w:t>
      </w:r>
    </w:p>
    <w:p w14:paraId="72B869C4" w14:textId="77777777" w:rsidR="00973EBE" w:rsidRPr="006C0CE3" w:rsidRDefault="00973EBE" w:rsidP="768556BD">
      <w:pPr>
        <w:rPr>
          <w:rFonts w:asciiTheme="minorHAnsi" w:eastAsiaTheme="minorEastAsia" w:hAnsiTheme="minorHAnsi" w:cstheme="minorBidi"/>
          <w:noProof/>
          <w:sz w:val="22"/>
          <w:szCs w:val="22"/>
        </w:rPr>
      </w:pPr>
    </w:p>
    <w:p w14:paraId="27BE8A40" w14:textId="77777777" w:rsidR="00973EBE" w:rsidRPr="006C0CE3" w:rsidRDefault="00973EBE" w:rsidP="768556BD">
      <w:pPr>
        <w:rPr>
          <w:rFonts w:asciiTheme="minorHAnsi" w:eastAsiaTheme="minorEastAsia" w:hAnsiTheme="minorHAnsi" w:cstheme="minorBidi"/>
          <w:noProof/>
          <w:sz w:val="22"/>
          <w:szCs w:val="22"/>
        </w:rPr>
      </w:pPr>
    </w:p>
    <w:p w14:paraId="53CA9171" w14:textId="77777777" w:rsidR="00973EBE" w:rsidRPr="006C0CE3" w:rsidRDefault="00973EBE" w:rsidP="768556BD">
      <w:pPr>
        <w:rPr>
          <w:rFonts w:asciiTheme="minorHAnsi" w:eastAsiaTheme="minorEastAsia" w:hAnsiTheme="minorHAnsi" w:cstheme="minorBidi"/>
          <w:noProof/>
          <w:sz w:val="22"/>
          <w:szCs w:val="22"/>
        </w:rPr>
      </w:pPr>
    </w:p>
    <w:p w14:paraId="575BB669" w14:textId="54E808F4" w:rsidR="00DC7D08" w:rsidRPr="006C0CE3" w:rsidRDefault="00DC7D08" w:rsidP="768556BD">
      <w:pPr>
        <w:rPr>
          <w:rFonts w:asciiTheme="minorHAnsi" w:eastAsiaTheme="minorEastAsia" w:hAnsiTheme="minorHAnsi" w:cstheme="minorBidi"/>
          <w:sz w:val="22"/>
          <w:szCs w:val="22"/>
        </w:rPr>
      </w:pPr>
    </w:p>
    <w:sectPr w:rsidR="00DC7D08" w:rsidRPr="006C0CE3" w:rsidSect="000673AE">
      <w:head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958B" w14:textId="77777777" w:rsidR="00FC4B59" w:rsidRDefault="00FC4B59">
      <w:r>
        <w:separator/>
      </w:r>
    </w:p>
  </w:endnote>
  <w:endnote w:type="continuationSeparator" w:id="0">
    <w:p w14:paraId="43EE6537" w14:textId="77777777" w:rsidR="00FC4B59" w:rsidRDefault="00FC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modern"/>
    <w:notTrueType/>
    <w:pitch w:val="variable"/>
    <w:sig w:usb0="A00000FF" w:usb1="4000004A" w:usb2="00000000" w:usb3="00000000" w:csb0="0000009B"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B23D" w14:textId="77777777" w:rsidR="00591AF7" w:rsidRDefault="00AA2264" w:rsidP="00591AF7">
    <w:pPr>
      <w:tabs>
        <w:tab w:val="center" w:pos="4680"/>
        <w:tab w:val="right" w:pos="9360"/>
      </w:tabs>
      <w:ind w:left="-360"/>
      <w:jc w:val="center"/>
      <w:rPr>
        <w:rFonts w:asciiTheme="minorHAnsi" w:eastAsiaTheme="minorHAnsi" w:hAnsiTheme="minorHAnsi" w:cstheme="minorBidi"/>
        <w:color w:val="A6A6A6" w:themeColor="background1" w:themeShade="A6"/>
        <w:sz w:val="15"/>
        <w:szCs w:val="15"/>
      </w:rPr>
    </w:pPr>
    <w:r w:rsidRPr="00591AF7">
      <w:rPr>
        <w:rFonts w:ascii="Gotham Narrow Book" w:eastAsiaTheme="minorHAnsi" w:hAnsi="Gotham Narrow Book" w:cstheme="minorBidi"/>
        <w:color w:val="A6A6A6" w:themeColor="background1" w:themeShade="A6"/>
        <w:sz w:val="15"/>
        <w:szCs w:val="15"/>
      </w:rPr>
      <w:t xml:space="preserve">American Society of Health-System Pharmacists </w:t>
    </w:r>
    <w:r w:rsidR="00591AF7" w:rsidRPr="00591AF7">
      <w:rPr>
        <w:rFonts w:ascii="Gotham Narrow Book" w:eastAsiaTheme="minorHAnsi" w:hAnsi="Gotham Narrow Book" w:cs="Courier New"/>
        <w:color w:val="A6A6A6" w:themeColor="background1" w:themeShade="A6"/>
        <w:sz w:val="15"/>
        <w:szCs w:val="15"/>
      </w:rPr>
      <w:t>•</w:t>
    </w:r>
    <w:r w:rsidRPr="00591AF7">
      <w:rPr>
        <w:rFonts w:ascii="Gotham Narrow Book" w:eastAsiaTheme="minorHAnsi" w:hAnsi="Gotham Narrow Book" w:cstheme="minorBidi"/>
        <w:color w:val="A6A6A6" w:themeColor="background1" w:themeShade="A6"/>
        <w:sz w:val="15"/>
        <w:szCs w:val="15"/>
      </w:rPr>
      <w:t xml:space="preserve"> </w:t>
    </w:r>
    <w:r w:rsidR="005C5C7F" w:rsidRPr="00591AF7">
      <w:rPr>
        <w:rFonts w:ascii="Gotham Narrow Book" w:eastAsiaTheme="minorHAnsi" w:hAnsi="Gotham Narrow Book" w:cstheme="minorBidi"/>
        <w:color w:val="A6A6A6" w:themeColor="background1" w:themeShade="A6"/>
        <w:sz w:val="15"/>
        <w:szCs w:val="15"/>
      </w:rPr>
      <w:t xml:space="preserve">4500 East-West Highway, Suite 900, Bethesda, MD 20814 </w:t>
    </w:r>
    <w:r w:rsidR="00591AF7" w:rsidRPr="00591AF7">
      <w:rPr>
        <w:rFonts w:ascii="Gotham Narrow Book" w:eastAsiaTheme="minorHAnsi" w:hAnsi="Gotham Narrow Book" w:cstheme="minorBidi"/>
        <w:color w:val="A6A6A6" w:themeColor="background1" w:themeShade="A6"/>
        <w:sz w:val="15"/>
        <w:szCs w:val="15"/>
      </w:rPr>
      <w:t>• (866) 279-0681 •</w:t>
    </w:r>
    <w:r w:rsidR="005C5C7F" w:rsidRPr="00591AF7">
      <w:rPr>
        <w:rFonts w:ascii="Gotham Narrow Book" w:eastAsiaTheme="minorHAnsi" w:hAnsi="Gotham Narrow Book" w:cstheme="minorBidi"/>
        <w:color w:val="A6A6A6" w:themeColor="background1" w:themeShade="A6"/>
        <w:sz w:val="15"/>
        <w:szCs w:val="15"/>
      </w:rPr>
      <w:t xml:space="preserve"> </w:t>
    </w:r>
    <w:r w:rsidR="00591AF7" w:rsidRPr="00591AF7">
      <w:rPr>
        <w:rFonts w:ascii="Gotham Narrow Book" w:eastAsiaTheme="minorHAnsi" w:hAnsi="Gotham Narrow Book" w:cstheme="minorBidi"/>
        <w:color w:val="A6A6A6" w:themeColor="background1" w:themeShade="A6"/>
        <w:sz w:val="15"/>
        <w:szCs w:val="15"/>
      </w:rPr>
      <w:t>ashp.org</w:t>
    </w:r>
  </w:p>
  <w:p w14:paraId="0F5ABA83" w14:textId="77777777" w:rsidR="00591AF7" w:rsidRPr="00591AF7" w:rsidRDefault="00591AF7" w:rsidP="00591AF7">
    <w:pPr>
      <w:tabs>
        <w:tab w:val="center" w:pos="4680"/>
        <w:tab w:val="right" w:pos="9360"/>
      </w:tabs>
      <w:ind w:left="-360"/>
      <w:jc w:val="center"/>
      <w:rPr>
        <w:rFonts w:asciiTheme="minorHAnsi" w:eastAsiaTheme="minorHAnsi" w:hAnsiTheme="minorHAnsi" w:cstheme="minorBidi"/>
        <w:color w:val="A6A6A6" w:themeColor="background1" w:themeShade="A6"/>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2065B" w14:textId="77777777" w:rsidR="00FC4B59" w:rsidRDefault="00FC4B59">
      <w:r>
        <w:separator/>
      </w:r>
    </w:p>
  </w:footnote>
  <w:footnote w:type="continuationSeparator" w:id="0">
    <w:p w14:paraId="518BE907" w14:textId="77777777" w:rsidR="00FC4B59" w:rsidRDefault="00FC4B59">
      <w:r>
        <w:continuationSeparator/>
      </w:r>
    </w:p>
  </w:footnote>
  <w:footnote w:id="1">
    <w:p w14:paraId="1D3A6DE0" w14:textId="77777777" w:rsidR="00973EBE" w:rsidRDefault="00973EBE" w:rsidP="00973EBE">
      <w:pPr>
        <w:pStyle w:val="FootnoteText"/>
      </w:pPr>
      <w:r>
        <w:rPr>
          <w:rStyle w:val="FootnoteReference"/>
          <w:rFonts w:ascii="Calibri" w:hAnsi="Calibri" w:cs="Calibri"/>
        </w:rPr>
        <w:footnoteRef/>
      </w:r>
      <w:r>
        <w:rPr>
          <w:rFonts w:ascii="Calibri" w:hAnsi="Calibri" w:cs="Calibri"/>
        </w:rPr>
        <w:t xml:space="preserve"> Federal Register, Executive Order 14273, “Lowering Drug Prices by Once Again Putting Americans First.” Available at: https://www.federalregister.gov/documents/2025/04/18/2025-06837/lowering-drug-prices-by-once-again-putting-americans-first</w:t>
      </w:r>
    </w:p>
  </w:footnote>
  <w:footnote w:id="2">
    <w:p w14:paraId="6595EB56" w14:textId="77777777" w:rsidR="00973EBE" w:rsidRDefault="00973EBE" w:rsidP="00973EBE">
      <w:pPr>
        <w:pStyle w:val="FootnoteText"/>
        <w:rPr>
          <w:rFonts w:ascii="Calibri" w:hAnsi="Calibri" w:cs="Calibri"/>
        </w:rPr>
      </w:pPr>
      <w:r>
        <w:rPr>
          <w:rStyle w:val="FootnoteReference"/>
          <w:rFonts w:ascii="Calibri" w:hAnsi="Calibri" w:cs="Calibri"/>
        </w:rPr>
        <w:footnoteRef/>
      </w:r>
      <w:r>
        <w:rPr>
          <w:rFonts w:ascii="Calibri" w:hAnsi="Calibri" w:cs="Calibri"/>
        </w:rPr>
        <w:t xml:space="preserve"> Federal Register, Executive Order 14192, “Unleashing Prosperity Through Deregulation.” Available at: https://www.federalregister.gov/documents/2025/02/06/2025-02345/unleashing-prosperity-through-deregulation</w:t>
      </w:r>
    </w:p>
  </w:footnote>
  <w:footnote w:id="3">
    <w:p w14:paraId="43722E97" w14:textId="77777777" w:rsidR="00973EBE" w:rsidRPr="001413F0" w:rsidRDefault="00973EBE" w:rsidP="00973EBE">
      <w:pPr>
        <w:pStyle w:val="FootnoteText"/>
        <w:rPr>
          <w:rFonts w:asciiTheme="minorHAnsi" w:hAnsiTheme="minorHAnsi" w:cstheme="minorHAnsi"/>
        </w:rPr>
      </w:pPr>
      <w:r>
        <w:rPr>
          <w:rStyle w:val="FootnoteReference"/>
          <w:rFonts w:ascii="Calibri" w:hAnsi="Calibri" w:cs="Calibri"/>
        </w:rPr>
        <w:footnoteRef/>
      </w:r>
      <w:r>
        <w:rPr>
          <w:rFonts w:ascii="Calibri" w:hAnsi="Calibri" w:cs="Calibri"/>
        </w:rPr>
        <w:t xml:space="preserve"> Federal Register, Executive Order 14273, “Lowering Drug Prices by Once Again Putting Americans First.” Available at: https://www.federalregister.gov/documents/2025/04/18/2025-06837/lowering-drug-prices-by-once-again-</w:t>
      </w:r>
      <w:r w:rsidRPr="001413F0">
        <w:rPr>
          <w:rFonts w:asciiTheme="minorHAnsi" w:hAnsiTheme="minorHAnsi" w:cstheme="minorHAnsi"/>
        </w:rPr>
        <w:t>putting-americans-first</w:t>
      </w:r>
    </w:p>
  </w:footnote>
  <w:footnote w:id="4">
    <w:p w14:paraId="0E72235C" w14:textId="77777777" w:rsidR="00973EBE" w:rsidRPr="001413F0" w:rsidRDefault="00973EBE" w:rsidP="00973EBE">
      <w:pPr>
        <w:pStyle w:val="FootnoteText"/>
        <w:rPr>
          <w:rFonts w:asciiTheme="minorHAnsi" w:hAnsiTheme="minorHAnsi" w:cstheme="minorHAnsi"/>
        </w:rPr>
      </w:pPr>
      <w:r w:rsidRPr="001413F0">
        <w:rPr>
          <w:rStyle w:val="FootnoteReference"/>
          <w:rFonts w:asciiTheme="minorHAnsi" w:hAnsiTheme="minorHAnsi" w:cstheme="minorHAnsi"/>
        </w:rPr>
        <w:footnoteRef/>
      </w:r>
      <w:r w:rsidRPr="001413F0">
        <w:rPr>
          <w:rFonts w:asciiTheme="minorHAnsi" w:hAnsiTheme="minorHAnsi" w:cstheme="minorHAnsi"/>
        </w:rPr>
        <w:t xml:space="preserve"> Section 40.4, </w:t>
      </w:r>
      <w:hyperlink r:id="rId1" w:history="1">
        <w:r w:rsidRPr="001413F0">
          <w:rPr>
            <w:rStyle w:val="Hyperlink"/>
            <w:rFonts w:asciiTheme="minorHAnsi" w:hAnsiTheme="minorHAnsi" w:cstheme="minorHAnsi"/>
          </w:rPr>
          <w:t>Medicare Drug Price Negotiation Program Final Guidance for Initial Price Applicability Year 2027 and Manufacturer Effectuation of the Maximum Fair Price in 2026 and 2027</w:t>
        </w:r>
      </w:hyperlink>
    </w:p>
  </w:footnote>
  <w:footnote w:id="5">
    <w:p w14:paraId="4BC3455B" w14:textId="77777777" w:rsidR="00973EBE" w:rsidRPr="001413F0" w:rsidRDefault="00973EBE" w:rsidP="00973EBE">
      <w:pPr>
        <w:pStyle w:val="FootnoteText"/>
        <w:rPr>
          <w:rFonts w:asciiTheme="minorHAnsi" w:hAnsiTheme="minorHAnsi" w:cstheme="minorHAnsi"/>
        </w:rPr>
      </w:pPr>
      <w:r w:rsidRPr="001413F0">
        <w:rPr>
          <w:rStyle w:val="FootnoteReference"/>
          <w:rFonts w:asciiTheme="minorHAnsi" w:hAnsiTheme="minorHAnsi" w:cstheme="minorHAnsi"/>
        </w:rPr>
        <w:footnoteRef/>
      </w:r>
      <w:r w:rsidRPr="001413F0">
        <w:rPr>
          <w:rFonts w:asciiTheme="minorHAnsi" w:hAnsiTheme="minorHAnsi" w:cstheme="minorHAnsi"/>
        </w:rPr>
        <w:t xml:space="preserve"> Section 40.4.3, </w:t>
      </w:r>
      <w:hyperlink r:id="rId2" w:history="1">
        <w:r w:rsidRPr="001413F0">
          <w:rPr>
            <w:rFonts w:asciiTheme="minorHAnsi" w:hAnsiTheme="minorHAnsi" w:cstheme="minorHAnsi"/>
          </w:rPr>
          <w:t>Medicare Drug Price Negotiation Program Final Guidance for Initial Price Applicability Year 2027 and Manufacturer Effectuation of the Maximum Fair Price in 2026 and 2027</w:t>
        </w:r>
      </w:hyperlink>
    </w:p>
  </w:footnote>
  <w:footnote w:id="6">
    <w:p w14:paraId="1D489219" w14:textId="77777777" w:rsidR="00973EBE" w:rsidRDefault="00973EBE" w:rsidP="00973EBE">
      <w:pPr>
        <w:pStyle w:val="FootnoteText"/>
        <w:rPr>
          <w:rFonts w:ascii="Calibri" w:hAnsi="Calibri" w:cs="Calibri"/>
        </w:rPr>
      </w:pPr>
      <w:r w:rsidRPr="001413F0">
        <w:rPr>
          <w:rStyle w:val="FootnoteReference"/>
          <w:rFonts w:asciiTheme="minorHAnsi" w:hAnsiTheme="minorHAnsi" w:cstheme="minorHAnsi"/>
        </w:rPr>
        <w:footnoteRef/>
      </w:r>
      <w:r w:rsidRPr="001413F0">
        <w:rPr>
          <w:rFonts w:asciiTheme="minorHAnsi" w:hAnsiTheme="minorHAnsi" w:cstheme="minorHAnsi"/>
        </w:rPr>
        <w:t xml:space="preserve"> CMS, “Unleashing Prosperity Through Deregulation of the Medicare Program (Executive Order 14192)- Request for Information.” Available at: https://www.cms.gov/medicare-regulatory-relief-rfi</w:t>
      </w:r>
    </w:p>
  </w:footnote>
  <w:footnote w:id="7">
    <w:p w14:paraId="04197AFD" w14:textId="77777777" w:rsidR="00973EBE" w:rsidRPr="00F51BE7" w:rsidRDefault="00973EBE" w:rsidP="00973EBE">
      <w:pPr>
        <w:pStyle w:val="FootnoteText"/>
        <w:rPr>
          <w:rFonts w:asciiTheme="minorHAnsi" w:hAnsiTheme="minorHAnsi" w:cstheme="minorHAnsi"/>
        </w:rPr>
      </w:pPr>
      <w:r w:rsidRPr="00F51BE7">
        <w:rPr>
          <w:rStyle w:val="FootnoteReference"/>
          <w:rFonts w:asciiTheme="minorHAnsi" w:hAnsiTheme="minorHAnsi" w:cstheme="minorHAnsi"/>
        </w:rPr>
        <w:footnoteRef/>
      </w:r>
      <w:r w:rsidRPr="00F51BE7">
        <w:rPr>
          <w:rFonts w:asciiTheme="minorHAnsi" w:hAnsiTheme="minorHAnsi" w:cstheme="minorHAnsi"/>
        </w:rPr>
        <w:t xml:space="preserve"> Section 40.4, </w:t>
      </w:r>
      <w:hyperlink r:id="rId3" w:history="1">
        <w:r w:rsidRPr="00F51BE7">
          <w:rPr>
            <w:rFonts w:asciiTheme="minorHAnsi" w:hAnsiTheme="minorHAnsi" w:cstheme="minorHAnsi"/>
          </w:rPr>
          <w:t>Medicare Drug Price Negotiation Program Final Guidance for Initial Price Applicability Year 2027 and Manufacturer Effectuation of the Maximum Fair Price in 2026 and 2027</w:t>
        </w:r>
      </w:hyperlink>
    </w:p>
  </w:footnote>
  <w:footnote w:id="8">
    <w:p w14:paraId="608FEE56" w14:textId="77777777" w:rsidR="00973EBE" w:rsidRDefault="00973EBE" w:rsidP="00973EBE">
      <w:pPr>
        <w:pStyle w:val="FootnoteText"/>
        <w:rPr>
          <w:rFonts w:ascii="Calibri" w:hAnsi="Calibri" w:cs="Calibri"/>
        </w:rPr>
      </w:pPr>
      <w:r w:rsidRPr="00F51BE7">
        <w:rPr>
          <w:rStyle w:val="FootnoteReference"/>
          <w:rFonts w:asciiTheme="minorHAnsi" w:hAnsiTheme="minorHAnsi" w:cstheme="minorHAnsi"/>
        </w:rPr>
        <w:footnoteRef/>
      </w:r>
      <w:r w:rsidRPr="00F51BE7">
        <w:rPr>
          <w:rFonts w:asciiTheme="minorHAnsi" w:hAnsiTheme="minorHAnsi" w:cstheme="minorHAnsi"/>
        </w:rPr>
        <w:t xml:space="preserve"> CMS, “Medicare Drug Price Negotiation Program: Negotiated Prices for Initial Price Applicability Year 2026.” Available at: </w:t>
      </w:r>
      <w:hyperlink r:id="rId4" w:history="1">
        <w:r w:rsidRPr="00F51BE7">
          <w:rPr>
            <w:rStyle w:val="Hyperlink"/>
            <w:rFonts w:asciiTheme="minorHAnsi" w:hAnsiTheme="minorHAnsi" w:cstheme="minorHAnsi"/>
          </w:rPr>
          <w:t>https://www.cms.gov/newsroom/fact-sheets/medicare-drug-price-negotiation-program-negotiated-prices-initial-price-applicability-year-2026</w:t>
        </w:r>
      </w:hyperlink>
    </w:p>
  </w:footnote>
  <w:footnote w:id="9">
    <w:p w14:paraId="0CB73C73" w14:textId="77777777" w:rsidR="00973EBE" w:rsidRDefault="00973EBE" w:rsidP="00973EBE">
      <w:pPr>
        <w:pStyle w:val="FootnoteText"/>
        <w:rPr>
          <w:rFonts w:ascii="Calibri" w:hAnsi="Calibri" w:cs="Calibri"/>
        </w:rPr>
      </w:pPr>
      <w:r>
        <w:rPr>
          <w:rStyle w:val="FootnoteReference"/>
          <w:rFonts w:ascii="Calibri" w:hAnsi="Calibri" w:cs="Calibri"/>
        </w:rPr>
        <w:footnoteRef/>
      </w:r>
      <w:r>
        <w:rPr>
          <w:rFonts w:ascii="Calibri" w:hAnsi="Calibri" w:cs="Calibri"/>
        </w:rPr>
        <w:t xml:space="preserve"> NCPA. (January 2025). </w:t>
      </w:r>
      <w:r>
        <w:rPr>
          <w:rFonts w:ascii="Calibri" w:hAnsi="Calibri" w:cs="Calibri"/>
          <w:i/>
          <w:iCs/>
        </w:rPr>
        <w:t>Unpacking the Financial Impacts of Medicare Drug Price Negotiation Analysis on Pharmacy Cash Flows</w:t>
      </w:r>
      <w:r>
        <w:rPr>
          <w:rFonts w:ascii="Calibri" w:hAnsi="Calibri" w:cs="Calibri"/>
        </w:rPr>
        <w:t>. Available at:</w:t>
      </w:r>
    </w:p>
  </w:footnote>
  <w:footnote w:id="10">
    <w:p w14:paraId="6C96CE22" w14:textId="77777777" w:rsidR="00973EBE" w:rsidRDefault="00973EBE" w:rsidP="00973EBE">
      <w:pPr>
        <w:pStyle w:val="FootnoteText"/>
      </w:pPr>
      <w:r>
        <w:rPr>
          <w:rStyle w:val="FootnoteReference"/>
          <w:rFonts w:ascii="Calibri" w:hAnsi="Calibri" w:cs="Calibri"/>
        </w:rPr>
        <w:footnoteRef/>
      </w:r>
      <w:r>
        <w:rPr>
          <w:rFonts w:ascii="Calibri" w:hAnsi="Calibri" w:cs="Calibri"/>
        </w:rPr>
        <w:t xml:space="preserve"> NCPA. (January 2025). Report for January 2025 Survey of Independent Pharmacy Owners/Managers. Available at: https://ncpa.org/sites/default/files/2025-01/1.27.2025-FinalExecSummary.NCPA_.MemberSurvey.pdf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94BA" w14:textId="1E0B97A9" w:rsidR="00C2768F" w:rsidRDefault="00FC7BB4" w:rsidP="00D3743A">
    <w:pPr>
      <w:pStyle w:val="Header"/>
      <w:rPr>
        <w:rFonts w:asciiTheme="minorHAnsi" w:hAnsiTheme="minorHAnsi" w:cstheme="minorHAnsi"/>
        <w:sz w:val="22"/>
        <w:szCs w:val="22"/>
      </w:rPr>
    </w:pPr>
    <w:r>
      <w:rPr>
        <w:rFonts w:asciiTheme="minorHAnsi" w:hAnsiTheme="minorHAnsi" w:cstheme="minorHAnsi"/>
        <w:sz w:val="22"/>
        <w:szCs w:val="22"/>
      </w:rPr>
      <w:t>Pharmacy</w:t>
    </w:r>
    <w:r w:rsidR="00973EBE">
      <w:rPr>
        <w:rFonts w:asciiTheme="minorHAnsi" w:hAnsiTheme="minorHAnsi" w:cstheme="minorHAnsi"/>
        <w:sz w:val="22"/>
        <w:szCs w:val="22"/>
      </w:rPr>
      <w:t xml:space="preserve"> Memo re: IRA Implementation</w:t>
    </w:r>
  </w:p>
  <w:p w14:paraId="2634AD71" w14:textId="6B50E16F" w:rsidR="00C2768F" w:rsidRDefault="768556BD" w:rsidP="768556BD">
    <w:pPr>
      <w:pStyle w:val="Header"/>
      <w:rPr>
        <w:rFonts w:asciiTheme="minorHAnsi" w:hAnsiTheme="minorHAnsi" w:cstheme="minorBidi"/>
        <w:sz w:val="22"/>
        <w:szCs w:val="22"/>
      </w:rPr>
    </w:pPr>
    <w:r w:rsidRPr="768556BD">
      <w:rPr>
        <w:rFonts w:asciiTheme="minorHAnsi" w:hAnsiTheme="minorHAnsi" w:cstheme="minorBidi"/>
        <w:sz w:val="22"/>
        <w:szCs w:val="22"/>
      </w:rPr>
      <w:t xml:space="preserve">October </w:t>
    </w:r>
    <w:r w:rsidR="006C0CE3">
      <w:rPr>
        <w:rFonts w:asciiTheme="minorHAnsi" w:hAnsiTheme="minorHAnsi" w:cstheme="minorBidi"/>
        <w:sz w:val="22"/>
        <w:szCs w:val="22"/>
      </w:rPr>
      <w:t>30</w:t>
    </w:r>
    <w:r w:rsidRPr="768556BD">
      <w:rPr>
        <w:rFonts w:asciiTheme="minorHAnsi" w:hAnsiTheme="minorHAnsi" w:cstheme="minorBidi"/>
        <w:sz w:val="22"/>
        <w:szCs w:val="22"/>
      </w:rPr>
      <w:t>, 2025</w:t>
    </w:r>
  </w:p>
  <w:p w14:paraId="4DEE83EB" w14:textId="77777777" w:rsidR="00441BBA" w:rsidRDefault="00C2768F" w:rsidP="00D3743A">
    <w:pPr>
      <w:pStyle w:val="Header"/>
      <w:rPr>
        <w:rFonts w:asciiTheme="minorHAnsi" w:hAnsiTheme="minorHAnsi" w:cstheme="minorHAnsi"/>
        <w:noProof/>
        <w:sz w:val="22"/>
        <w:szCs w:val="22"/>
      </w:rPr>
    </w:pPr>
    <w:r>
      <w:rPr>
        <w:rFonts w:asciiTheme="minorHAnsi" w:hAnsiTheme="minorHAnsi" w:cstheme="minorHAnsi"/>
        <w:sz w:val="22"/>
        <w:szCs w:val="22"/>
      </w:rPr>
      <w:t xml:space="preserve">Page </w:t>
    </w:r>
    <w:r w:rsidR="00DC7D08" w:rsidRPr="00DC7D08">
      <w:rPr>
        <w:rFonts w:asciiTheme="minorHAnsi" w:hAnsiTheme="minorHAnsi" w:cstheme="minorHAnsi"/>
        <w:sz w:val="22"/>
        <w:szCs w:val="22"/>
      </w:rPr>
      <w:fldChar w:fldCharType="begin"/>
    </w:r>
    <w:r w:rsidR="00DC7D08" w:rsidRPr="00DC7D08">
      <w:rPr>
        <w:rFonts w:asciiTheme="minorHAnsi" w:hAnsiTheme="minorHAnsi" w:cstheme="minorHAnsi"/>
        <w:sz w:val="22"/>
        <w:szCs w:val="22"/>
      </w:rPr>
      <w:instrText xml:space="preserve"> PAGE   \* MERGEFORMAT </w:instrText>
    </w:r>
    <w:r w:rsidR="00DC7D08" w:rsidRPr="00DC7D08">
      <w:rPr>
        <w:rFonts w:asciiTheme="minorHAnsi" w:hAnsiTheme="minorHAnsi" w:cstheme="minorHAnsi"/>
        <w:sz w:val="22"/>
        <w:szCs w:val="22"/>
      </w:rPr>
      <w:fldChar w:fldCharType="separate"/>
    </w:r>
    <w:r w:rsidR="00DC7D08">
      <w:rPr>
        <w:rFonts w:asciiTheme="minorHAnsi" w:hAnsiTheme="minorHAnsi" w:cstheme="minorHAnsi"/>
        <w:noProof/>
        <w:sz w:val="22"/>
        <w:szCs w:val="22"/>
      </w:rPr>
      <w:t>2</w:t>
    </w:r>
    <w:r w:rsidR="00DC7D08" w:rsidRPr="00DC7D08">
      <w:rPr>
        <w:rFonts w:asciiTheme="minorHAnsi" w:hAnsiTheme="minorHAnsi" w:cstheme="minorHAnsi"/>
        <w:noProof/>
        <w:sz w:val="22"/>
        <w:szCs w:val="22"/>
      </w:rPr>
      <w:fldChar w:fldCharType="end"/>
    </w:r>
  </w:p>
  <w:p w14:paraId="32B10E3D" w14:textId="77777777" w:rsidR="006C0CE3" w:rsidRPr="002B4740" w:rsidRDefault="006C0CE3" w:rsidP="00D3743A">
    <w:pPr>
      <w:pStyle w:val="Header"/>
      <w:rPr>
        <w:rFonts w:asciiTheme="minorHAnsi" w:hAnsiTheme="minorHAnsi" w:cstheme="min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88A0" w14:textId="5EB6AFEA" w:rsidR="000673AE" w:rsidRPr="009B0BD2" w:rsidRDefault="000673AE" w:rsidP="009B0BD2">
    <w:pPr>
      <w:tabs>
        <w:tab w:val="center" w:pos="4680"/>
        <w:tab w:val="right" w:pos="9360"/>
      </w:tabs>
      <w:rPr>
        <w:rFonts w:asciiTheme="minorHAnsi" w:eastAsiaTheme="minorHAnsi" w:hAnsiTheme="minorHAnsi" w:cstheme="minorBid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065"/>
    <w:multiLevelType w:val="hybridMultilevel"/>
    <w:tmpl w:val="34D0568C"/>
    <w:lvl w:ilvl="0" w:tplc="F660612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5337C46"/>
    <w:multiLevelType w:val="hybridMultilevel"/>
    <w:tmpl w:val="71F431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1073965"/>
    <w:multiLevelType w:val="hybridMultilevel"/>
    <w:tmpl w:val="41304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8BD5E7B"/>
    <w:multiLevelType w:val="hybridMultilevel"/>
    <w:tmpl w:val="BC221D5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B012A39"/>
    <w:multiLevelType w:val="hybridMultilevel"/>
    <w:tmpl w:val="8056FA7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27235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427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0787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56561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907641">
    <w:abstractNumId w:val="0"/>
  </w:num>
  <w:num w:numId="6" w16cid:durableId="1327974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fc6,#fc9,#c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EBE"/>
    <w:rsid w:val="00013248"/>
    <w:rsid w:val="00013311"/>
    <w:rsid w:val="000169B9"/>
    <w:rsid w:val="000305AE"/>
    <w:rsid w:val="00052111"/>
    <w:rsid w:val="000673AE"/>
    <w:rsid w:val="000853A9"/>
    <w:rsid w:val="00092D8F"/>
    <w:rsid w:val="000944A4"/>
    <w:rsid w:val="0009486D"/>
    <w:rsid w:val="00097732"/>
    <w:rsid w:val="000A3604"/>
    <w:rsid w:val="000A55D5"/>
    <w:rsid w:val="000A7978"/>
    <w:rsid w:val="000B1380"/>
    <w:rsid w:val="000B633A"/>
    <w:rsid w:val="000C1314"/>
    <w:rsid w:val="000D294B"/>
    <w:rsid w:val="000D5030"/>
    <w:rsid w:val="000E2471"/>
    <w:rsid w:val="000E33D6"/>
    <w:rsid w:val="001019A1"/>
    <w:rsid w:val="001153F4"/>
    <w:rsid w:val="001221DB"/>
    <w:rsid w:val="00124CEB"/>
    <w:rsid w:val="00130372"/>
    <w:rsid w:val="00135E6A"/>
    <w:rsid w:val="001413F0"/>
    <w:rsid w:val="00144105"/>
    <w:rsid w:val="00145A59"/>
    <w:rsid w:val="001462C7"/>
    <w:rsid w:val="00150A21"/>
    <w:rsid w:val="001700BE"/>
    <w:rsid w:val="00170971"/>
    <w:rsid w:val="001A1379"/>
    <w:rsid w:val="001C52CF"/>
    <w:rsid w:val="001D2EAD"/>
    <w:rsid w:val="001E26B2"/>
    <w:rsid w:val="001E6194"/>
    <w:rsid w:val="001F38A0"/>
    <w:rsid w:val="001F4A28"/>
    <w:rsid w:val="001F7CEB"/>
    <w:rsid w:val="00205C91"/>
    <w:rsid w:val="00222B0B"/>
    <w:rsid w:val="0022433B"/>
    <w:rsid w:val="00225FAC"/>
    <w:rsid w:val="002279D1"/>
    <w:rsid w:val="00236926"/>
    <w:rsid w:val="00241328"/>
    <w:rsid w:val="0026185F"/>
    <w:rsid w:val="002701C4"/>
    <w:rsid w:val="002814E0"/>
    <w:rsid w:val="00282A25"/>
    <w:rsid w:val="00285761"/>
    <w:rsid w:val="00290757"/>
    <w:rsid w:val="00291081"/>
    <w:rsid w:val="002B0885"/>
    <w:rsid w:val="002B0F85"/>
    <w:rsid w:val="002B201C"/>
    <w:rsid w:val="002B4A77"/>
    <w:rsid w:val="002E00C5"/>
    <w:rsid w:val="002E459B"/>
    <w:rsid w:val="00323B10"/>
    <w:rsid w:val="003261CD"/>
    <w:rsid w:val="00336F06"/>
    <w:rsid w:val="00340C56"/>
    <w:rsid w:val="00340D70"/>
    <w:rsid w:val="00351250"/>
    <w:rsid w:val="00366041"/>
    <w:rsid w:val="00375706"/>
    <w:rsid w:val="0038266D"/>
    <w:rsid w:val="003A5592"/>
    <w:rsid w:val="003B196A"/>
    <w:rsid w:val="003B5225"/>
    <w:rsid w:val="003C06C8"/>
    <w:rsid w:val="003C6162"/>
    <w:rsid w:val="003C7F42"/>
    <w:rsid w:val="003D146E"/>
    <w:rsid w:val="003D2ACB"/>
    <w:rsid w:val="003E612B"/>
    <w:rsid w:val="003F6671"/>
    <w:rsid w:val="003F6715"/>
    <w:rsid w:val="003F7AB7"/>
    <w:rsid w:val="00405F1D"/>
    <w:rsid w:val="00411BE5"/>
    <w:rsid w:val="00421903"/>
    <w:rsid w:val="00432F2E"/>
    <w:rsid w:val="004347A4"/>
    <w:rsid w:val="00441BBA"/>
    <w:rsid w:val="00443E4A"/>
    <w:rsid w:val="004537EC"/>
    <w:rsid w:val="0046097A"/>
    <w:rsid w:val="004620B9"/>
    <w:rsid w:val="00465E0A"/>
    <w:rsid w:val="00466EBA"/>
    <w:rsid w:val="00474565"/>
    <w:rsid w:val="00482E97"/>
    <w:rsid w:val="00486356"/>
    <w:rsid w:val="00487482"/>
    <w:rsid w:val="004A3FBA"/>
    <w:rsid w:val="004A46CA"/>
    <w:rsid w:val="004B2ADD"/>
    <w:rsid w:val="004C1B7A"/>
    <w:rsid w:val="004C4904"/>
    <w:rsid w:val="004C5EC4"/>
    <w:rsid w:val="004D185A"/>
    <w:rsid w:val="004D24AC"/>
    <w:rsid w:val="004D3231"/>
    <w:rsid w:val="004E5595"/>
    <w:rsid w:val="004E78CF"/>
    <w:rsid w:val="005135F5"/>
    <w:rsid w:val="00534E35"/>
    <w:rsid w:val="00540C4B"/>
    <w:rsid w:val="005445EE"/>
    <w:rsid w:val="005600FD"/>
    <w:rsid w:val="00560F27"/>
    <w:rsid w:val="0057385F"/>
    <w:rsid w:val="00582AE1"/>
    <w:rsid w:val="00582B29"/>
    <w:rsid w:val="005866A4"/>
    <w:rsid w:val="00591AF7"/>
    <w:rsid w:val="005969BF"/>
    <w:rsid w:val="00597B9B"/>
    <w:rsid w:val="005A2191"/>
    <w:rsid w:val="005A3AE0"/>
    <w:rsid w:val="005C3E0B"/>
    <w:rsid w:val="005C4D33"/>
    <w:rsid w:val="005C5C7F"/>
    <w:rsid w:val="005D24D2"/>
    <w:rsid w:val="005D24E8"/>
    <w:rsid w:val="005D4087"/>
    <w:rsid w:val="005E3C25"/>
    <w:rsid w:val="006006E3"/>
    <w:rsid w:val="006018FF"/>
    <w:rsid w:val="00601C53"/>
    <w:rsid w:val="0060459F"/>
    <w:rsid w:val="00610027"/>
    <w:rsid w:val="00612D96"/>
    <w:rsid w:val="00622B27"/>
    <w:rsid w:val="0062DEEB"/>
    <w:rsid w:val="0064627B"/>
    <w:rsid w:val="00657BBF"/>
    <w:rsid w:val="0066508A"/>
    <w:rsid w:val="00667EFD"/>
    <w:rsid w:val="006703E2"/>
    <w:rsid w:val="006804DA"/>
    <w:rsid w:val="006905D1"/>
    <w:rsid w:val="00693587"/>
    <w:rsid w:val="006A2746"/>
    <w:rsid w:val="006A4433"/>
    <w:rsid w:val="006B0C2E"/>
    <w:rsid w:val="006C0CE3"/>
    <w:rsid w:val="006C420E"/>
    <w:rsid w:val="006C5CA0"/>
    <w:rsid w:val="006E6961"/>
    <w:rsid w:val="006F0D6C"/>
    <w:rsid w:val="00713136"/>
    <w:rsid w:val="00714074"/>
    <w:rsid w:val="00716592"/>
    <w:rsid w:val="007165C8"/>
    <w:rsid w:val="007310C3"/>
    <w:rsid w:val="00731C87"/>
    <w:rsid w:val="007330FD"/>
    <w:rsid w:val="007339BE"/>
    <w:rsid w:val="00764D71"/>
    <w:rsid w:val="007675EC"/>
    <w:rsid w:val="0077363C"/>
    <w:rsid w:val="0078335B"/>
    <w:rsid w:val="00791838"/>
    <w:rsid w:val="007A371B"/>
    <w:rsid w:val="007B2C06"/>
    <w:rsid w:val="007D0509"/>
    <w:rsid w:val="007D3B69"/>
    <w:rsid w:val="007F4543"/>
    <w:rsid w:val="008034B7"/>
    <w:rsid w:val="00804EDA"/>
    <w:rsid w:val="00806185"/>
    <w:rsid w:val="00812400"/>
    <w:rsid w:val="0082284D"/>
    <w:rsid w:val="00826432"/>
    <w:rsid w:val="00843060"/>
    <w:rsid w:val="00846AEB"/>
    <w:rsid w:val="0085614F"/>
    <w:rsid w:val="008614D1"/>
    <w:rsid w:val="00863CCC"/>
    <w:rsid w:val="00863EBD"/>
    <w:rsid w:val="00864D13"/>
    <w:rsid w:val="008666C4"/>
    <w:rsid w:val="00867D77"/>
    <w:rsid w:val="00873E8D"/>
    <w:rsid w:val="00875634"/>
    <w:rsid w:val="00884270"/>
    <w:rsid w:val="00891EB5"/>
    <w:rsid w:val="00896202"/>
    <w:rsid w:val="00897B4D"/>
    <w:rsid w:val="008A447D"/>
    <w:rsid w:val="008C1AFE"/>
    <w:rsid w:val="008C2B05"/>
    <w:rsid w:val="008E2F77"/>
    <w:rsid w:val="008E3425"/>
    <w:rsid w:val="008E6069"/>
    <w:rsid w:val="00906CF2"/>
    <w:rsid w:val="00910519"/>
    <w:rsid w:val="00917828"/>
    <w:rsid w:val="009462A6"/>
    <w:rsid w:val="00951997"/>
    <w:rsid w:val="00951A53"/>
    <w:rsid w:val="00967C19"/>
    <w:rsid w:val="00973EBE"/>
    <w:rsid w:val="0099510C"/>
    <w:rsid w:val="009A114B"/>
    <w:rsid w:val="009A2D56"/>
    <w:rsid w:val="009B0BD2"/>
    <w:rsid w:val="009C3A08"/>
    <w:rsid w:val="009C3DB5"/>
    <w:rsid w:val="009C48F1"/>
    <w:rsid w:val="009D2357"/>
    <w:rsid w:val="009D30AF"/>
    <w:rsid w:val="009E3718"/>
    <w:rsid w:val="009E41B8"/>
    <w:rsid w:val="009E7F92"/>
    <w:rsid w:val="00A0170D"/>
    <w:rsid w:val="00A072BA"/>
    <w:rsid w:val="00A15CD2"/>
    <w:rsid w:val="00A267C4"/>
    <w:rsid w:val="00A42EC1"/>
    <w:rsid w:val="00A44454"/>
    <w:rsid w:val="00A70822"/>
    <w:rsid w:val="00A70D08"/>
    <w:rsid w:val="00A71837"/>
    <w:rsid w:val="00A747F1"/>
    <w:rsid w:val="00A76C6F"/>
    <w:rsid w:val="00AA2264"/>
    <w:rsid w:val="00AB0ED5"/>
    <w:rsid w:val="00AB2BB9"/>
    <w:rsid w:val="00AB3416"/>
    <w:rsid w:val="00AB4773"/>
    <w:rsid w:val="00AC642A"/>
    <w:rsid w:val="00AC7F82"/>
    <w:rsid w:val="00AD1590"/>
    <w:rsid w:val="00AE19C5"/>
    <w:rsid w:val="00AE33DA"/>
    <w:rsid w:val="00AE36FB"/>
    <w:rsid w:val="00AE4155"/>
    <w:rsid w:val="00AF207A"/>
    <w:rsid w:val="00AF2649"/>
    <w:rsid w:val="00AF71A1"/>
    <w:rsid w:val="00B012F2"/>
    <w:rsid w:val="00B21C69"/>
    <w:rsid w:val="00B22B9D"/>
    <w:rsid w:val="00B32328"/>
    <w:rsid w:val="00B402E4"/>
    <w:rsid w:val="00B604A5"/>
    <w:rsid w:val="00B70BC7"/>
    <w:rsid w:val="00B711AF"/>
    <w:rsid w:val="00B7379A"/>
    <w:rsid w:val="00B764E2"/>
    <w:rsid w:val="00B77714"/>
    <w:rsid w:val="00B82FC9"/>
    <w:rsid w:val="00B84AF5"/>
    <w:rsid w:val="00B864B7"/>
    <w:rsid w:val="00B9232B"/>
    <w:rsid w:val="00B92568"/>
    <w:rsid w:val="00B92C1A"/>
    <w:rsid w:val="00BB0899"/>
    <w:rsid w:val="00BB73DF"/>
    <w:rsid w:val="00BD3602"/>
    <w:rsid w:val="00BD74E9"/>
    <w:rsid w:val="00BE3643"/>
    <w:rsid w:val="00BE686B"/>
    <w:rsid w:val="00BF19CE"/>
    <w:rsid w:val="00BF6D37"/>
    <w:rsid w:val="00C034B5"/>
    <w:rsid w:val="00C11C27"/>
    <w:rsid w:val="00C12C6F"/>
    <w:rsid w:val="00C258A7"/>
    <w:rsid w:val="00C2768F"/>
    <w:rsid w:val="00C330DF"/>
    <w:rsid w:val="00C421F6"/>
    <w:rsid w:val="00C459A8"/>
    <w:rsid w:val="00C50C4F"/>
    <w:rsid w:val="00C54416"/>
    <w:rsid w:val="00C61FF5"/>
    <w:rsid w:val="00C67DA3"/>
    <w:rsid w:val="00C747D4"/>
    <w:rsid w:val="00C75A00"/>
    <w:rsid w:val="00C77888"/>
    <w:rsid w:val="00C81A98"/>
    <w:rsid w:val="00C871B5"/>
    <w:rsid w:val="00C87920"/>
    <w:rsid w:val="00C97896"/>
    <w:rsid w:val="00C97AFD"/>
    <w:rsid w:val="00CB48A8"/>
    <w:rsid w:val="00CB66AC"/>
    <w:rsid w:val="00CC1E8B"/>
    <w:rsid w:val="00CD3DFA"/>
    <w:rsid w:val="00CD5B0A"/>
    <w:rsid w:val="00CE3F1D"/>
    <w:rsid w:val="00CE5C87"/>
    <w:rsid w:val="00CF410F"/>
    <w:rsid w:val="00D02EB8"/>
    <w:rsid w:val="00D074C4"/>
    <w:rsid w:val="00D2007B"/>
    <w:rsid w:val="00D26840"/>
    <w:rsid w:val="00D33ED4"/>
    <w:rsid w:val="00D34E48"/>
    <w:rsid w:val="00D3743A"/>
    <w:rsid w:val="00D54956"/>
    <w:rsid w:val="00D565A0"/>
    <w:rsid w:val="00D71CDD"/>
    <w:rsid w:val="00D76382"/>
    <w:rsid w:val="00D7743A"/>
    <w:rsid w:val="00D85F0F"/>
    <w:rsid w:val="00D9026B"/>
    <w:rsid w:val="00D93181"/>
    <w:rsid w:val="00D95096"/>
    <w:rsid w:val="00D95DB4"/>
    <w:rsid w:val="00DA5E6F"/>
    <w:rsid w:val="00DB0E3E"/>
    <w:rsid w:val="00DB1EDB"/>
    <w:rsid w:val="00DB2D78"/>
    <w:rsid w:val="00DC442D"/>
    <w:rsid w:val="00DC7D08"/>
    <w:rsid w:val="00DD0B37"/>
    <w:rsid w:val="00DD42BB"/>
    <w:rsid w:val="00DD7CC1"/>
    <w:rsid w:val="00DE7F32"/>
    <w:rsid w:val="00DF022D"/>
    <w:rsid w:val="00E005B8"/>
    <w:rsid w:val="00E00EB9"/>
    <w:rsid w:val="00E1257A"/>
    <w:rsid w:val="00E24CA1"/>
    <w:rsid w:val="00E2678A"/>
    <w:rsid w:val="00E312A5"/>
    <w:rsid w:val="00E406BA"/>
    <w:rsid w:val="00E45B3D"/>
    <w:rsid w:val="00E614EC"/>
    <w:rsid w:val="00E65879"/>
    <w:rsid w:val="00E7751E"/>
    <w:rsid w:val="00E8265C"/>
    <w:rsid w:val="00E854E4"/>
    <w:rsid w:val="00EB3746"/>
    <w:rsid w:val="00EC084C"/>
    <w:rsid w:val="00EC20DA"/>
    <w:rsid w:val="00ED4D37"/>
    <w:rsid w:val="00ED6C50"/>
    <w:rsid w:val="00EE66A9"/>
    <w:rsid w:val="00EF6B96"/>
    <w:rsid w:val="00F1297F"/>
    <w:rsid w:val="00F130EB"/>
    <w:rsid w:val="00F13B71"/>
    <w:rsid w:val="00F2163D"/>
    <w:rsid w:val="00F51BE7"/>
    <w:rsid w:val="00F520A6"/>
    <w:rsid w:val="00F52519"/>
    <w:rsid w:val="00F5412D"/>
    <w:rsid w:val="00F669CD"/>
    <w:rsid w:val="00F7182A"/>
    <w:rsid w:val="00F769DB"/>
    <w:rsid w:val="00F813CC"/>
    <w:rsid w:val="00FA4AB9"/>
    <w:rsid w:val="00FB3FFA"/>
    <w:rsid w:val="00FB66C0"/>
    <w:rsid w:val="00FC4B59"/>
    <w:rsid w:val="00FC6E9B"/>
    <w:rsid w:val="00FC744F"/>
    <w:rsid w:val="00FC7BB4"/>
    <w:rsid w:val="00FE0FBE"/>
    <w:rsid w:val="00FF784C"/>
    <w:rsid w:val="00FF7A26"/>
    <w:rsid w:val="0356DCC8"/>
    <w:rsid w:val="04041844"/>
    <w:rsid w:val="0519E1FA"/>
    <w:rsid w:val="052BBEEF"/>
    <w:rsid w:val="05C2C6E0"/>
    <w:rsid w:val="07F48EAE"/>
    <w:rsid w:val="0AE14802"/>
    <w:rsid w:val="0B8C43EA"/>
    <w:rsid w:val="0BBC068A"/>
    <w:rsid w:val="0C6E5E9C"/>
    <w:rsid w:val="0CF63AB9"/>
    <w:rsid w:val="0D4A6631"/>
    <w:rsid w:val="0D8EAE39"/>
    <w:rsid w:val="0F7703F8"/>
    <w:rsid w:val="0FAA41A9"/>
    <w:rsid w:val="11F286BF"/>
    <w:rsid w:val="128BCB72"/>
    <w:rsid w:val="1388D90D"/>
    <w:rsid w:val="144F6738"/>
    <w:rsid w:val="14558FA7"/>
    <w:rsid w:val="14D1B1CB"/>
    <w:rsid w:val="1507D131"/>
    <w:rsid w:val="1990908C"/>
    <w:rsid w:val="19A533AC"/>
    <w:rsid w:val="1B764B19"/>
    <w:rsid w:val="1BC2E7CD"/>
    <w:rsid w:val="1F09A34F"/>
    <w:rsid w:val="206DB9EC"/>
    <w:rsid w:val="225755F7"/>
    <w:rsid w:val="23746BAB"/>
    <w:rsid w:val="25320CD4"/>
    <w:rsid w:val="281EC6D8"/>
    <w:rsid w:val="28B3BD5D"/>
    <w:rsid w:val="2BB5F479"/>
    <w:rsid w:val="2C22BA67"/>
    <w:rsid w:val="2C256D6C"/>
    <w:rsid w:val="2D0606CE"/>
    <w:rsid w:val="2DBFF55D"/>
    <w:rsid w:val="2DC9DB2A"/>
    <w:rsid w:val="2E41B0E6"/>
    <w:rsid w:val="2FD99773"/>
    <w:rsid w:val="320DA689"/>
    <w:rsid w:val="3251FE30"/>
    <w:rsid w:val="354F8304"/>
    <w:rsid w:val="3759AFB3"/>
    <w:rsid w:val="39E38634"/>
    <w:rsid w:val="3A0E4542"/>
    <w:rsid w:val="3A6073FC"/>
    <w:rsid w:val="3BABC90B"/>
    <w:rsid w:val="3BC0AF5E"/>
    <w:rsid w:val="3E63A4C7"/>
    <w:rsid w:val="3EB2CBA5"/>
    <w:rsid w:val="3F71E738"/>
    <w:rsid w:val="42AC5F16"/>
    <w:rsid w:val="4303F1B1"/>
    <w:rsid w:val="43E24B5C"/>
    <w:rsid w:val="47442C8D"/>
    <w:rsid w:val="48262A2A"/>
    <w:rsid w:val="48F07FA8"/>
    <w:rsid w:val="4A891C5F"/>
    <w:rsid w:val="4B72C2C6"/>
    <w:rsid w:val="4C39E184"/>
    <w:rsid w:val="4CE96118"/>
    <w:rsid w:val="4DE3822C"/>
    <w:rsid w:val="4E70A1ED"/>
    <w:rsid w:val="4F0DCAA0"/>
    <w:rsid w:val="5082346E"/>
    <w:rsid w:val="508ED240"/>
    <w:rsid w:val="50A7E23C"/>
    <w:rsid w:val="51192DBB"/>
    <w:rsid w:val="512E1088"/>
    <w:rsid w:val="5290E8AD"/>
    <w:rsid w:val="54113C83"/>
    <w:rsid w:val="54A2025F"/>
    <w:rsid w:val="5505EEC5"/>
    <w:rsid w:val="5527BEC7"/>
    <w:rsid w:val="55BFCBB5"/>
    <w:rsid w:val="55C2816B"/>
    <w:rsid w:val="58635980"/>
    <w:rsid w:val="58763476"/>
    <w:rsid w:val="596A5C0B"/>
    <w:rsid w:val="59BEB219"/>
    <w:rsid w:val="5A1F8CF3"/>
    <w:rsid w:val="5BD5939D"/>
    <w:rsid w:val="5CDFFDAB"/>
    <w:rsid w:val="5D19167A"/>
    <w:rsid w:val="5D59B185"/>
    <w:rsid w:val="5D89328A"/>
    <w:rsid w:val="5DE6A019"/>
    <w:rsid w:val="5E41CCBC"/>
    <w:rsid w:val="5FE07C11"/>
    <w:rsid w:val="60EC8E4E"/>
    <w:rsid w:val="613F428F"/>
    <w:rsid w:val="61EB4485"/>
    <w:rsid w:val="641F9CBA"/>
    <w:rsid w:val="65626D86"/>
    <w:rsid w:val="65E7C911"/>
    <w:rsid w:val="66602444"/>
    <w:rsid w:val="67AF21B4"/>
    <w:rsid w:val="67C6BE66"/>
    <w:rsid w:val="681F22ED"/>
    <w:rsid w:val="689C2A17"/>
    <w:rsid w:val="6AFAB988"/>
    <w:rsid w:val="6BA86705"/>
    <w:rsid w:val="6EC0A52F"/>
    <w:rsid w:val="6F28B773"/>
    <w:rsid w:val="70293FB3"/>
    <w:rsid w:val="72F66CB5"/>
    <w:rsid w:val="7482D800"/>
    <w:rsid w:val="768556BD"/>
    <w:rsid w:val="770FA6FE"/>
    <w:rsid w:val="78121DD9"/>
    <w:rsid w:val="78AA3522"/>
    <w:rsid w:val="7E1BCC52"/>
    <w:rsid w:val="7E6D724E"/>
    <w:rsid w:val="7F87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c6,#fc9,#c90"/>
    </o:shapedefaults>
    <o:shapelayout v:ext="edit">
      <o:idmap v:ext="edit" data="2"/>
    </o:shapelayout>
  </w:shapeDefaults>
  <w:decimalSymbol w:val="."/>
  <w:listSeparator w:val=","/>
  <w14:docId w14:val="4AE34A7C"/>
  <w15:docId w15:val="{6149EBE3-A426-4A38-A0D3-DD85E30E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2519"/>
    <w:pPr>
      <w:tabs>
        <w:tab w:val="center" w:pos="4320"/>
        <w:tab w:val="right" w:pos="8640"/>
      </w:tabs>
    </w:pPr>
  </w:style>
  <w:style w:type="paragraph" w:styleId="Footer">
    <w:name w:val="footer"/>
    <w:basedOn w:val="Normal"/>
    <w:rsid w:val="00F52519"/>
    <w:pPr>
      <w:tabs>
        <w:tab w:val="center" w:pos="4320"/>
        <w:tab w:val="right" w:pos="8640"/>
      </w:tabs>
    </w:pPr>
  </w:style>
  <w:style w:type="paragraph" w:styleId="BalloonText">
    <w:name w:val="Balloon Text"/>
    <w:basedOn w:val="Normal"/>
    <w:semiHidden/>
    <w:rsid w:val="007A371B"/>
    <w:rPr>
      <w:rFonts w:ascii="Tahoma" w:hAnsi="Tahoma" w:cs="Tahoma"/>
      <w:sz w:val="16"/>
      <w:szCs w:val="16"/>
    </w:rPr>
  </w:style>
  <w:style w:type="paragraph" w:customStyle="1" w:styleId="FaxBodyText">
    <w:name w:val="Fax Body Text"/>
    <w:basedOn w:val="Normal"/>
    <w:qFormat/>
    <w:rsid w:val="00806185"/>
    <w:pPr>
      <w:framePr w:hSpace="180" w:wrap="around" w:vAnchor="text" w:hAnchor="text" w:y="55"/>
    </w:pPr>
    <w:rPr>
      <w:rFonts w:asciiTheme="minorHAnsi" w:eastAsiaTheme="minorHAnsi" w:hAnsiTheme="minorHAnsi" w:cstheme="minorBidi"/>
      <w:sz w:val="18"/>
      <w:szCs w:val="22"/>
    </w:rPr>
  </w:style>
  <w:style w:type="character" w:styleId="PlaceholderText">
    <w:name w:val="Placeholder Text"/>
    <w:basedOn w:val="DefaultParagraphFont"/>
    <w:uiPriority w:val="99"/>
    <w:semiHidden/>
    <w:rsid w:val="00806185"/>
    <w:rPr>
      <w:color w:val="808080"/>
    </w:rPr>
  </w:style>
  <w:style w:type="paragraph" w:styleId="Closing">
    <w:name w:val="Closing"/>
    <w:basedOn w:val="Normal"/>
    <w:link w:val="ClosingChar"/>
    <w:uiPriority w:val="7"/>
    <w:unhideWhenUsed/>
    <w:qFormat/>
    <w:rsid w:val="00BB73DF"/>
    <w:pPr>
      <w:spacing w:before="240" w:line="276" w:lineRule="auto"/>
      <w:ind w:right="4320"/>
    </w:pPr>
    <w:rPr>
      <w:rFonts w:ascii="Calibri" w:eastAsiaTheme="minorEastAsia" w:hAnsi="Calibri" w:cstheme="minorBidi"/>
      <w:sz w:val="20"/>
      <w:szCs w:val="22"/>
    </w:rPr>
  </w:style>
  <w:style w:type="character" w:customStyle="1" w:styleId="ClosingChar">
    <w:name w:val="Closing Char"/>
    <w:basedOn w:val="DefaultParagraphFont"/>
    <w:link w:val="Closing"/>
    <w:uiPriority w:val="7"/>
    <w:rsid w:val="00BB73DF"/>
    <w:rPr>
      <w:rFonts w:ascii="Calibri" w:eastAsiaTheme="minorEastAsia" w:hAnsi="Calibri" w:cstheme="minorBidi"/>
      <w:szCs w:val="22"/>
    </w:rPr>
  </w:style>
  <w:style w:type="paragraph" w:customStyle="1" w:styleId="RecipientAddress">
    <w:name w:val="Recipient Address"/>
    <w:basedOn w:val="NoSpacing"/>
    <w:link w:val="RecipientAddressChar"/>
    <w:qFormat/>
    <w:rsid w:val="00BB73DF"/>
    <w:pPr>
      <w:spacing w:before="200" w:after="200" w:line="276" w:lineRule="auto"/>
      <w:contextualSpacing/>
    </w:pPr>
    <w:rPr>
      <w:rFonts w:asciiTheme="majorHAnsi" w:eastAsiaTheme="minorEastAsia" w:hAnsiTheme="majorHAnsi" w:cstheme="minorBidi"/>
      <w:color w:val="C0504D" w:themeColor="accent2"/>
      <w:sz w:val="18"/>
      <w:szCs w:val="22"/>
    </w:rPr>
  </w:style>
  <w:style w:type="paragraph" w:styleId="Salutation">
    <w:name w:val="Salutation"/>
    <w:basedOn w:val="Normal"/>
    <w:next w:val="Normal"/>
    <w:link w:val="SalutationChar"/>
    <w:uiPriority w:val="6"/>
    <w:unhideWhenUsed/>
    <w:qFormat/>
    <w:rsid w:val="00BB73DF"/>
    <w:pPr>
      <w:spacing w:before="400" w:after="320"/>
    </w:pPr>
    <w:rPr>
      <w:rFonts w:ascii="Calibri" w:eastAsiaTheme="minorEastAsia" w:hAnsi="Calibri" w:cstheme="minorBidi"/>
      <w:b/>
      <w:sz w:val="20"/>
      <w:szCs w:val="22"/>
    </w:rPr>
  </w:style>
  <w:style w:type="character" w:customStyle="1" w:styleId="SalutationChar">
    <w:name w:val="Salutation Char"/>
    <w:basedOn w:val="DefaultParagraphFont"/>
    <w:link w:val="Salutation"/>
    <w:uiPriority w:val="6"/>
    <w:rsid w:val="00BB73DF"/>
    <w:rPr>
      <w:rFonts w:ascii="Calibri" w:eastAsiaTheme="minorEastAsia" w:hAnsi="Calibri" w:cstheme="minorBidi"/>
      <w:b/>
      <w:szCs w:val="22"/>
    </w:rPr>
  </w:style>
  <w:style w:type="character" w:customStyle="1" w:styleId="RecipientAddressChar">
    <w:name w:val="Recipient Address Char"/>
    <w:basedOn w:val="DefaultParagraphFont"/>
    <w:link w:val="RecipientAddress"/>
    <w:rsid w:val="00BB73DF"/>
    <w:rPr>
      <w:rFonts w:asciiTheme="majorHAnsi" w:eastAsiaTheme="minorEastAsia" w:hAnsiTheme="majorHAnsi" w:cstheme="minorBidi"/>
      <w:color w:val="C0504D" w:themeColor="accent2"/>
      <w:sz w:val="18"/>
      <w:szCs w:val="22"/>
    </w:rPr>
  </w:style>
  <w:style w:type="paragraph" w:styleId="Signature">
    <w:name w:val="Signature"/>
    <w:basedOn w:val="Normal"/>
    <w:link w:val="SignatureChar"/>
    <w:unhideWhenUsed/>
    <w:rsid w:val="00BB73DF"/>
    <w:rPr>
      <w:rFonts w:ascii="Calibri" w:eastAsiaTheme="minorEastAsia" w:hAnsi="Calibri" w:cstheme="minorBidi"/>
      <w:sz w:val="20"/>
      <w:szCs w:val="22"/>
    </w:rPr>
  </w:style>
  <w:style w:type="character" w:customStyle="1" w:styleId="SignatureChar">
    <w:name w:val="Signature Char"/>
    <w:basedOn w:val="DefaultParagraphFont"/>
    <w:link w:val="Signature"/>
    <w:uiPriority w:val="99"/>
    <w:rsid w:val="00BB73DF"/>
    <w:rPr>
      <w:rFonts w:ascii="Calibri" w:eastAsiaTheme="minorEastAsia" w:hAnsi="Calibri" w:cstheme="minorBidi"/>
      <w:szCs w:val="22"/>
    </w:rPr>
  </w:style>
  <w:style w:type="paragraph" w:customStyle="1" w:styleId="Style1">
    <w:name w:val="Style1"/>
    <w:basedOn w:val="BodyText"/>
    <w:link w:val="Style1Char"/>
    <w:qFormat/>
    <w:rsid w:val="00BB73DF"/>
    <w:pPr>
      <w:spacing w:after="0"/>
    </w:pPr>
    <w:rPr>
      <w:rFonts w:asciiTheme="minorHAnsi" w:hAnsiTheme="minorHAnsi" w:cstheme="minorHAnsi"/>
      <w:sz w:val="22"/>
      <w:szCs w:val="22"/>
    </w:rPr>
  </w:style>
  <w:style w:type="character" w:customStyle="1" w:styleId="Style1Char">
    <w:name w:val="Style1 Char"/>
    <w:basedOn w:val="BodyTextChar"/>
    <w:link w:val="Style1"/>
    <w:rsid w:val="00BB73DF"/>
    <w:rPr>
      <w:rFonts w:asciiTheme="minorHAnsi" w:hAnsiTheme="minorHAnsi" w:cstheme="minorHAnsi"/>
      <w:sz w:val="22"/>
      <w:szCs w:val="22"/>
    </w:rPr>
  </w:style>
  <w:style w:type="paragraph" w:styleId="NoSpacing">
    <w:name w:val="No Spacing"/>
    <w:uiPriority w:val="1"/>
    <w:qFormat/>
    <w:rsid w:val="00BB73DF"/>
    <w:rPr>
      <w:sz w:val="24"/>
      <w:szCs w:val="24"/>
    </w:rPr>
  </w:style>
  <w:style w:type="paragraph" w:styleId="BodyText">
    <w:name w:val="Body Text"/>
    <w:basedOn w:val="Normal"/>
    <w:link w:val="BodyTextChar"/>
    <w:uiPriority w:val="99"/>
    <w:semiHidden/>
    <w:unhideWhenUsed/>
    <w:rsid w:val="00BB73DF"/>
    <w:pPr>
      <w:spacing w:after="120"/>
    </w:pPr>
  </w:style>
  <w:style w:type="character" w:customStyle="1" w:styleId="BodyTextChar">
    <w:name w:val="Body Text Char"/>
    <w:basedOn w:val="DefaultParagraphFont"/>
    <w:link w:val="BodyText"/>
    <w:uiPriority w:val="99"/>
    <w:semiHidden/>
    <w:rsid w:val="00BB73DF"/>
    <w:rPr>
      <w:sz w:val="24"/>
      <w:szCs w:val="24"/>
    </w:rPr>
  </w:style>
  <w:style w:type="character" w:customStyle="1" w:styleId="HeaderChar">
    <w:name w:val="Header Char"/>
    <w:basedOn w:val="DefaultParagraphFont"/>
    <w:link w:val="Header"/>
    <w:uiPriority w:val="99"/>
    <w:rsid w:val="00D3743A"/>
    <w:rPr>
      <w:sz w:val="24"/>
      <w:szCs w:val="24"/>
    </w:rPr>
  </w:style>
  <w:style w:type="character" w:styleId="Hyperlink">
    <w:name w:val="Hyperlink"/>
    <w:basedOn w:val="DefaultParagraphFont"/>
    <w:uiPriority w:val="99"/>
    <w:unhideWhenUsed/>
    <w:rsid w:val="00340C56"/>
    <w:rPr>
      <w:color w:val="0000FF" w:themeColor="hyperlink"/>
      <w:u w:val="single"/>
    </w:rPr>
  </w:style>
  <w:style w:type="character" w:styleId="FollowedHyperlink">
    <w:name w:val="FollowedHyperlink"/>
    <w:basedOn w:val="DefaultParagraphFont"/>
    <w:uiPriority w:val="99"/>
    <w:semiHidden/>
    <w:unhideWhenUsed/>
    <w:rsid w:val="00486356"/>
    <w:rPr>
      <w:color w:val="800080" w:themeColor="followedHyperlink"/>
      <w:u w:val="single"/>
    </w:rPr>
  </w:style>
  <w:style w:type="paragraph" w:styleId="FootnoteText">
    <w:name w:val="footnote text"/>
    <w:basedOn w:val="Normal"/>
    <w:link w:val="FootnoteTextChar"/>
    <w:uiPriority w:val="99"/>
    <w:semiHidden/>
    <w:unhideWhenUsed/>
    <w:rsid w:val="00973EBE"/>
    <w:rPr>
      <w:rFonts w:eastAsiaTheme="minorHAnsi" w:cs="Arial"/>
      <w:kern w:val="2"/>
      <w:sz w:val="20"/>
      <w:szCs w:val="20"/>
      <w14:ligatures w14:val="standardContextual"/>
    </w:rPr>
  </w:style>
  <w:style w:type="character" w:customStyle="1" w:styleId="FootnoteTextChar">
    <w:name w:val="Footnote Text Char"/>
    <w:basedOn w:val="DefaultParagraphFont"/>
    <w:link w:val="FootnoteText"/>
    <w:uiPriority w:val="99"/>
    <w:semiHidden/>
    <w:rsid w:val="00973EBE"/>
    <w:rPr>
      <w:rFonts w:eastAsiaTheme="minorHAnsi" w:cs="Arial"/>
      <w:kern w:val="2"/>
      <w14:ligatures w14:val="standardContextual"/>
    </w:rPr>
  </w:style>
  <w:style w:type="character" w:styleId="FootnoteReference">
    <w:name w:val="footnote reference"/>
    <w:basedOn w:val="DefaultParagraphFont"/>
    <w:uiPriority w:val="99"/>
    <w:semiHidden/>
    <w:unhideWhenUsed/>
    <w:rsid w:val="00973EBE"/>
    <w:rPr>
      <w:vertAlign w:val="superscript"/>
    </w:rPr>
  </w:style>
  <w:style w:type="paragraph" w:styleId="ListParagraph">
    <w:name w:val="List Paragraph"/>
    <w:basedOn w:val="Normal"/>
    <w:uiPriority w:val="34"/>
    <w:qFormat/>
    <w:rsid w:val="00973EBE"/>
    <w:pPr>
      <w:ind w:left="720"/>
      <w:contextualSpacing/>
    </w:pPr>
  </w:style>
  <w:style w:type="paragraph" w:styleId="Revision">
    <w:name w:val="Revision"/>
    <w:hidden/>
    <w:uiPriority w:val="99"/>
    <w:semiHidden/>
    <w:rsid w:val="00BF19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130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files/document/medicare-drug-price-negotiation-final-guidance-ipay-2027-and-manufacturer-effectuation-mfp-2026-2027.pdf" TargetMode="External"/><Relationship Id="rId2" Type="http://schemas.openxmlformats.org/officeDocument/2006/relationships/hyperlink" Target="https://www.cms.gov/files/document/medicare-drug-price-negotiation-final-guidance-ipay-2027-and-manufacturer-effectuation-mfp-2026-2027.pdf" TargetMode="External"/><Relationship Id="rId1" Type="http://schemas.openxmlformats.org/officeDocument/2006/relationships/hyperlink" Target="https://www.cms.gov/files/document/medicare-drug-price-negotiation-final-guidance-ipay-2027-and-manufacturer-effectuation-mfp-2026-2027.pdf" TargetMode="External"/><Relationship Id="rId4" Type="http://schemas.openxmlformats.org/officeDocument/2006/relationships/hyperlink" Target="https://www.cms.gov/newsroom/fact-sheets/medicare-drug-price-negotiation-program-negotiated-prices-initial-price-applicability-year-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D3EF61E1DD5042BE144D3AC6CBC56F" ma:contentTypeVersion="6" ma:contentTypeDescription="Create a new document." ma:contentTypeScope="" ma:versionID="9f9063ae36a9bf0e443b76a58a7118dd">
  <xsd:schema xmlns:xsd="http://www.w3.org/2001/XMLSchema" xmlns:xs="http://www.w3.org/2001/XMLSchema" xmlns:p="http://schemas.microsoft.com/office/2006/metadata/properties" xmlns:ns2="31628fa9-8bf4-473e-8f25-a25ca4189dcb" xmlns:ns3="4ce58e6b-6f66-4aa0-97d2-4bf2b67f5914" targetNamespace="http://schemas.microsoft.com/office/2006/metadata/properties" ma:root="true" ma:fieldsID="6aea7c6eceb4fef312c387b87e20a37c" ns2:_="" ns3:_="">
    <xsd:import namespace="31628fa9-8bf4-473e-8f25-a25ca4189dcb"/>
    <xsd:import namespace="4ce58e6b-6f66-4aa0-97d2-4bf2b67f59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28fa9-8bf4-473e-8f25-a25ca4189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e58e6b-6f66-4aa0-97d2-4bf2b67f59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1D205-1B56-4A5E-9F97-E7746BA7D198}">
  <ds:schemaRefs>
    <ds:schemaRef ds:uri="http://schemas.microsoft.com/office/2006/metadata/properties"/>
  </ds:schemaRefs>
</ds:datastoreItem>
</file>

<file path=customXml/itemProps2.xml><?xml version="1.0" encoding="utf-8"?>
<ds:datastoreItem xmlns:ds="http://schemas.openxmlformats.org/officeDocument/2006/customXml" ds:itemID="{ED765B87-CE4E-40BC-B8E1-3CF50AEA997E}">
  <ds:schemaRefs>
    <ds:schemaRef ds:uri="http://schemas.openxmlformats.org/officeDocument/2006/bibliography"/>
  </ds:schemaRefs>
</ds:datastoreItem>
</file>

<file path=customXml/itemProps3.xml><?xml version="1.0" encoding="utf-8"?>
<ds:datastoreItem xmlns:ds="http://schemas.openxmlformats.org/officeDocument/2006/customXml" ds:itemID="{850A8A81-D342-4DE1-8F00-1E552B45FD86}">
  <ds:schemaRefs>
    <ds:schemaRef ds:uri="http://schemas.microsoft.com/sharepoint/v3/contenttype/forms"/>
  </ds:schemaRefs>
</ds:datastoreItem>
</file>

<file path=customXml/itemProps4.xml><?xml version="1.0" encoding="utf-8"?>
<ds:datastoreItem xmlns:ds="http://schemas.openxmlformats.org/officeDocument/2006/customXml" ds:itemID="{91F82850-5A1B-4055-ACD2-F8AEEF96F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28fa9-8bf4-473e-8f25-a25ca4189dcb"/>
    <ds:schemaRef ds:uri="4ce58e6b-6f66-4aa0-97d2-4bf2b67f5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3081</Words>
  <Characters>17564</Characters>
  <Application>Microsoft Office Word</Application>
  <DocSecurity>0</DocSecurity>
  <Lines>146</Lines>
  <Paragraphs>41</Paragraphs>
  <ScaleCrop>false</ScaleCrop>
  <Company>ASHP</Company>
  <LinksUpToDate>false</LinksUpToDate>
  <CharactersWithSpaces>20604</CharactersWithSpaces>
  <SharedDoc>false</SharedDoc>
  <HLinks>
    <vt:vector size="24" baseType="variant">
      <vt:variant>
        <vt:i4>5374017</vt:i4>
      </vt:variant>
      <vt:variant>
        <vt:i4>9</vt:i4>
      </vt:variant>
      <vt:variant>
        <vt:i4>0</vt:i4>
      </vt:variant>
      <vt:variant>
        <vt:i4>5</vt:i4>
      </vt:variant>
      <vt:variant>
        <vt:lpwstr>https://www.cms.gov/newsroom/fact-sheets/medicare-drug-price-negotiation-program-negotiated-prices-initial-price-applicability-year-2026</vt:lpwstr>
      </vt:variant>
      <vt:variant>
        <vt:lpwstr/>
      </vt:variant>
      <vt:variant>
        <vt:i4>2293819</vt:i4>
      </vt:variant>
      <vt:variant>
        <vt:i4>6</vt:i4>
      </vt:variant>
      <vt:variant>
        <vt:i4>0</vt:i4>
      </vt:variant>
      <vt:variant>
        <vt:i4>5</vt:i4>
      </vt:variant>
      <vt:variant>
        <vt:lpwstr>https://www.cms.gov/files/document/medicare-drug-price-negotiation-final-guidance-ipay-2027-and-manufacturer-effectuation-mfp-2026-2027.pdf</vt:lpwstr>
      </vt:variant>
      <vt:variant>
        <vt:lpwstr/>
      </vt:variant>
      <vt:variant>
        <vt:i4>2293819</vt:i4>
      </vt:variant>
      <vt:variant>
        <vt:i4>3</vt:i4>
      </vt:variant>
      <vt:variant>
        <vt:i4>0</vt:i4>
      </vt:variant>
      <vt:variant>
        <vt:i4>5</vt:i4>
      </vt:variant>
      <vt:variant>
        <vt:lpwstr>https://www.cms.gov/files/document/medicare-drug-price-negotiation-final-guidance-ipay-2027-and-manufacturer-effectuation-mfp-2026-2027.pdf</vt:lpwstr>
      </vt:variant>
      <vt:variant>
        <vt:lpwstr/>
      </vt:variant>
      <vt:variant>
        <vt:i4>2293819</vt:i4>
      </vt:variant>
      <vt:variant>
        <vt:i4>0</vt:i4>
      </vt:variant>
      <vt:variant>
        <vt:i4>0</vt:i4>
      </vt:variant>
      <vt:variant>
        <vt:i4>5</vt:i4>
      </vt:variant>
      <vt:variant>
        <vt:lpwstr>https://www.cms.gov/files/document/medicare-drug-price-negotiation-final-guidance-ipay-2027-and-manufacturer-effectuation-mfp-2026-2027.pdf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 - How to Use</dc:title>
  <dc:subject/>
  <dc:creator>Jillanne Schulte</dc:creator>
  <cp:keywords/>
  <cp:lastModifiedBy>Brooke Boring</cp:lastModifiedBy>
  <cp:revision>2</cp:revision>
  <cp:lastPrinted>2013-01-26T01:15:00Z</cp:lastPrinted>
  <dcterms:created xsi:type="dcterms:W3CDTF">2025-11-04T17:28:00Z</dcterms:created>
  <dcterms:modified xsi:type="dcterms:W3CDTF">2025-11-04T17:28:00Z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0x010100B1D3EF61E1DD5042BE144D3AC6CBC56F</vt:lpwstr>
  </property>
  <property fmtid="{D5CDD505-2E9C-101B-9397-08002B2CF9AE}" pid="3" name="GrammarlyDocumentId">
    <vt:lpwstr>2764db06-f468-49f9-a59e-54c55fa44b00</vt:lpwstr>
  </property>
</Properties>
</file>